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A6E23" w14:textId="5D8A9130" w:rsidR="00E512EC" w:rsidRPr="00E512EC" w:rsidRDefault="00E512EC" w:rsidP="00B80C84">
      <w:pPr>
        <w:rPr>
          <w:sz w:val="28"/>
          <w:lang w:val="es-CL"/>
        </w:rPr>
      </w:pPr>
      <w:r>
        <w:rPr>
          <w:b/>
          <w:sz w:val="28"/>
          <w:lang w:val="es-CL"/>
        </w:rPr>
        <w:tab/>
      </w:r>
      <w:r>
        <w:rPr>
          <w:b/>
          <w:sz w:val="28"/>
          <w:lang w:val="es-CL"/>
        </w:rPr>
        <w:tab/>
      </w:r>
      <w:r>
        <w:rPr>
          <w:b/>
          <w:sz w:val="28"/>
          <w:lang w:val="es-CL"/>
        </w:rPr>
        <w:tab/>
      </w:r>
      <w:r>
        <w:rPr>
          <w:b/>
          <w:sz w:val="28"/>
          <w:lang w:val="es-CL"/>
        </w:rPr>
        <w:tab/>
      </w:r>
      <w:r>
        <w:rPr>
          <w:b/>
          <w:sz w:val="28"/>
          <w:lang w:val="es-CL"/>
        </w:rPr>
        <w:tab/>
      </w:r>
      <w:r>
        <w:rPr>
          <w:b/>
          <w:sz w:val="28"/>
          <w:lang w:val="es-CL"/>
        </w:rPr>
        <w:tab/>
      </w:r>
      <w:r>
        <w:rPr>
          <w:b/>
          <w:sz w:val="28"/>
          <w:lang w:val="es-CL"/>
        </w:rPr>
        <w:tab/>
      </w:r>
      <w:r w:rsidRPr="00E512EC">
        <w:rPr>
          <w:b/>
          <w:lang w:val="es-CL"/>
        </w:rPr>
        <w:tab/>
      </w:r>
      <w:r w:rsidRPr="00E512EC">
        <w:rPr>
          <w:lang w:val="es-CL"/>
        </w:rPr>
        <w:t>Santiago, 0</w:t>
      </w:r>
      <w:r w:rsidR="00CD0273">
        <w:rPr>
          <w:lang w:val="es-CL"/>
        </w:rPr>
        <w:t>7</w:t>
      </w:r>
      <w:r w:rsidRPr="00E512EC">
        <w:rPr>
          <w:lang w:val="es-CL"/>
        </w:rPr>
        <w:t xml:space="preserve"> de Julio de 2022</w:t>
      </w:r>
    </w:p>
    <w:p w14:paraId="3AB01C91" w14:textId="77777777" w:rsidR="00E512EC" w:rsidRDefault="00E512EC" w:rsidP="00B80C84">
      <w:pPr>
        <w:rPr>
          <w:b/>
          <w:sz w:val="28"/>
          <w:lang w:val="es-CL"/>
        </w:rPr>
      </w:pPr>
    </w:p>
    <w:p w14:paraId="1144B714" w14:textId="77777777" w:rsidR="00B80C84" w:rsidRPr="00E512EC" w:rsidRDefault="00B80C84" w:rsidP="00E512EC">
      <w:pPr>
        <w:jc w:val="center"/>
        <w:rPr>
          <w:b/>
          <w:sz w:val="28"/>
          <w:u w:val="single"/>
          <w:lang w:val="es-CL"/>
        </w:rPr>
      </w:pPr>
      <w:r w:rsidRPr="00E512EC">
        <w:rPr>
          <w:b/>
          <w:sz w:val="28"/>
          <w:u w:val="single"/>
          <w:lang w:val="es-CL"/>
        </w:rPr>
        <w:t>Resumen Ejecutivo</w:t>
      </w:r>
    </w:p>
    <w:p w14:paraId="143029EC" w14:textId="53E946E9" w:rsidR="00B80C84" w:rsidRPr="00555CC7" w:rsidRDefault="00947050" w:rsidP="00B80C84">
      <w:pPr>
        <w:rPr>
          <w:b/>
          <w:sz w:val="28"/>
          <w:lang w:val="es-CL"/>
        </w:rPr>
      </w:pPr>
      <w:bookmarkStart w:id="0" w:name="_GoBack"/>
      <w:r w:rsidRPr="00555CC7">
        <w:rPr>
          <w:b/>
          <w:sz w:val="28"/>
          <w:lang w:val="es-CL"/>
        </w:rPr>
        <w:t xml:space="preserve">PRINCIPALES CAMBIOS IMPOSITIVOS </w:t>
      </w:r>
      <w:r>
        <w:rPr>
          <w:b/>
          <w:sz w:val="28"/>
          <w:lang w:val="es-CL"/>
        </w:rPr>
        <w:t>EN PROPUESTA DE REFORMA TRIBUTARIA</w:t>
      </w:r>
    </w:p>
    <w:bookmarkEnd w:id="0"/>
    <w:p w14:paraId="2028A4A2" w14:textId="77777777" w:rsidR="00B80C84" w:rsidRPr="00B80C84" w:rsidRDefault="00B80C84" w:rsidP="00B80C84">
      <w:pPr>
        <w:pStyle w:val="Prrafodelista"/>
        <w:numPr>
          <w:ilvl w:val="0"/>
          <w:numId w:val="4"/>
        </w:numPr>
        <w:spacing w:after="0" w:line="240" w:lineRule="auto"/>
        <w:rPr>
          <w:sz w:val="24"/>
          <w:lang w:val="es-CL"/>
        </w:rPr>
      </w:pPr>
      <w:r w:rsidRPr="00B80C84">
        <w:rPr>
          <w:sz w:val="24"/>
          <w:lang w:val="es-CL"/>
        </w:rPr>
        <w:t>Nuevo Impuesto a la riqueza (al patrimonio)</w:t>
      </w:r>
    </w:p>
    <w:p w14:paraId="524095F8" w14:textId="77777777" w:rsidR="00B80C84" w:rsidRPr="00B80C84" w:rsidRDefault="00B80C84" w:rsidP="00B80C84">
      <w:pPr>
        <w:pStyle w:val="Prrafodelista"/>
        <w:numPr>
          <w:ilvl w:val="0"/>
          <w:numId w:val="4"/>
        </w:numPr>
        <w:spacing w:after="0" w:line="240" w:lineRule="auto"/>
        <w:rPr>
          <w:sz w:val="24"/>
          <w:lang w:val="es-CL"/>
        </w:rPr>
      </w:pPr>
      <w:r w:rsidRPr="00B80C84">
        <w:rPr>
          <w:sz w:val="24"/>
          <w:lang w:val="es-CL"/>
        </w:rPr>
        <w:t>Impuesto al diferimiento de impuestos</w:t>
      </w:r>
      <w:r w:rsidRPr="00B80C84">
        <w:rPr>
          <w:sz w:val="24"/>
          <w:lang w:val="es-CL"/>
        </w:rPr>
        <w:tab/>
      </w:r>
    </w:p>
    <w:p w14:paraId="12C63100" w14:textId="77777777" w:rsidR="00B80C84" w:rsidRPr="00B80C84" w:rsidRDefault="00B80C84" w:rsidP="00B80C84">
      <w:pPr>
        <w:pStyle w:val="Prrafodelista"/>
        <w:numPr>
          <w:ilvl w:val="0"/>
          <w:numId w:val="4"/>
        </w:numPr>
        <w:spacing w:after="0" w:line="240" w:lineRule="auto"/>
        <w:rPr>
          <w:sz w:val="24"/>
          <w:lang w:val="es-CL"/>
        </w:rPr>
      </w:pPr>
      <w:r w:rsidRPr="00B80C84">
        <w:rPr>
          <w:sz w:val="24"/>
          <w:lang w:val="es-CL"/>
        </w:rPr>
        <w:t>Impuestos Personales</w:t>
      </w:r>
    </w:p>
    <w:p w14:paraId="585281AC" w14:textId="77777777" w:rsidR="00B80C84" w:rsidRPr="00B80C84" w:rsidRDefault="00B80C84" w:rsidP="00B80C84">
      <w:pPr>
        <w:pStyle w:val="Prrafodelista"/>
        <w:numPr>
          <w:ilvl w:val="0"/>
          <w:numId w:val="4"/>
        </w:numPr>
        <w:spacing w:after="0" w:line="240" w:lineRule="auto"/>
        <w:rPr>
          <w:sz w:val="24"/>
          <w:lang w:val="es-CL"/>
        </w:rPr>
      </w:pPr>
      <w:r w:rsidRPr="00B80C84">
        <w:rPr>
          <w:sz w:val="24"/>
          <w:lang w:val="es-CL"/>
        </w:rPr>
        <w:t>Desintegración de Impuestos grandes empresas (Sistema Dual)</w:t>
      </w:r>
    </w:p>
    <w:p w14:paraId="704597EC" w14:textId="77777777" w:rsidR="00B80C84" w:rsidRPr="00B80C84" w:rsidRDefault="00B80C84" w:rsidP="00B80C84">
      <w:pPr>
        <w:pStyle w:val="Prrafodelista"/>
        <w:numPr>
          <w:ilvl w:val="0"/>
          <w:numId w:val="4"/>
        </w:numPr>
        <w:spacing w:after="0" w:line="240" w:lineRule="auto"/>
        <w:rPr>
          <w:sz w:val="24"/>
          <w:lang w:val="es-CL"/>
        </w:rPr>
      </w:pPr>
      <w:r w:rsidRPr="00B80C84">
        <w:rPr>
          <w:sz w:val="24"/>
          <w:lang w:val="es-CL"/>
        </w:rPr>
        <w:t xml:space="preserve">Ganancia de Capital </w:t>
      </w:r>
    </w:p>
    <w:p w14:paraId="38E21CEA" w14:textId="77777777" w:rsidR="00B80C84" w:rsidRPr="00B80C84" w:rsidRDefault="00B80C84" w:rsidP="00B80C84">
      <w:pPr>
        <w:pStyle w:val="Prrafodelista"/>
        <w:numPr>
          <w:ilvl w:val="0"/>
          <w:numId w:val="4"/>
        </w:numPr>
        <w:spacing w:after="0" w:line="240" w:lineRule="auto"/>
        <w:rPr>
          <w:sz w:val="24"/>
          <w:lang w:val="es-CL"/>
        </w:rPr>
      </w:pPr>
      <w:r w:rsidRPr="00B80C84">
        <w:rPr>
          <w:sz w:val="24"/>
          <w:lang w:val="es-CL"/>
        </w:rPr>
        <w:t xml:space="preserve">Límite a las Pérdidas Tributarias </w:t>
      </w:r>
    </w:p>
    <w:p w14:paraId="557C114D" w14:textId="77777777" w:rsidR="00B80C84" w:rsidRPr="00B80C84" w:rsidRDefault="00B80C84" w:rsidP="00B80C84">
      <w:pPr>
        <w:pStyle w:val="Prrafodelista"/>
        <w:numPr>
          <w:ilvl w:val="0"/>
          <w:numId w:val="4"/>
        </w:numPr>
        <w:spacing w:after="0" w:line="240" w:lineRule="auto"/>
        <w:rPr>
          <w:sz w:val="24"/>
          <w:lang w:val="es-CL"/>
        </w:rPr>
      </w:pPr>
      <w:r w:rsidRPr="00B80C84">
        <w:rPr>
          <w:sz w:val="24"/>
          <w:lang w:val="es-CL"/>
        </w:rPr>
        <w:t xml:space="preserve">Pymes </w:t>
      </w:r>
    </w:p>
    <w:p w14:paraId="13B09E14" w14:textId="77777777" w:rsidR="00B80C84" w:rsidRPr="00B80C84" w:rsidRDefault="00B80C84" w:rsidP="00B80C84">
      <w:pPr>
        <w:pStyle w:val="Prrafodelista"/>
        <w:numPr>
          <w:ilvl w:val="0"/>
          <w:numId w:val="4"/>
        </w:numPr>
        <w:spacing w:after="0" w:line="240" w:lineRule="auto"/>
        <w:rPr>
          <w:sz w:val="24"/>
          <w:lang w:val="es-CL"/>
        </w:rPr>
      </w:pPr>
      <w:r w:rsidRPr="00B80C84">
        <w:rPr>
          <w:sz w:val="24"/>
          <w:lang w:val="es-CL"/>
        </w:rPr>
        <w:t>Cambios en la tributación de los Fondos de Inversión Privados y Públicos</w:t>
      </w:r>
    </w:p>
    <w:p w14:paraId="79AD1657" w14:textId="77777777" w:rsidR="00B80C84" w:rsidRPr="00B80C84" w:rsidRDefault="00B80C84" w:rsidP="00B80C84">
      <w:pPr>
        <w:pStyle w:val="Prrafodelista"/>
        <w:numPr>
          <w:ilvl w:val="0"/>
          <w:numId w:val="4"/>
        </w:numPr>
        <w:spacing w:after="0" w:line="240" w:lineRule="auto"/>
        <w:rPr>
          <w:sz w:val="24"/>
          <w:lang w:val="es-CL"/>
        </w:rPr>
      </w:pPr>
      <w:r w:rsidRPr="00B80C84">
        <w:rPr>
          <w:sz w:val="24"/>
          <w:lang w:val="es-CL"/>
        </w:rPr>
        <w:t xml:space="preserve">Royalty Minero </w:t>
      </w:r>
    </w:p>
    <w:p w14:paraId="003F06D7" w14:textId="77777777" w:rsidR="00B80C84" w:rsidRPr="00B80C84" w:rsidRDefault="00B80C84" w:rsidP="00B80C84">
      <w:pPr>
        <w:pStyle w:val="Prrafodelista"/>
        <w:numPr>
          <w:ilvl w:val="0"/>
          <w:numId w:val="4"/>
        </w:numPr>
        <w:spacing w:after="0" w:line="240" w:lineRule="auto"/>
        <w:rPr>
          <w:sz w:val="24"/>
          <w:lang w:val="es-CL"/>
        </w:rPr>
      </w:pPr>
      <w:r w:rsidRPr="00B80C84">
        <w:rPr>
          <w:sz w:val="24"/>
          <w:lang w:val="es-CL"/>
        </w:rPr>
        <w:t xml:space="preserve">Evasión y Elusión </w:t>
      </w:r>
    </w:p>
    <w:p w14:paraId="0CF603B5" w14:textId="77777777" w:rsidR="00B80C84" w:rsidRPr="00B80C84" w:rsidRDefault="00B80C84" w:rsidP="00B80C84">
      <w:pPr>
        <w:pStyle w:val="Prrafodelista"/>
        <w:numPr>
          <w:ilvl w:val="0"/>
          <w:numId w:val="4"/>
        </w:numPr>
        <w:spacing w:after="0" w:line="240" w:lineRule="auto"/>
        <w:rPr>
          <w:sz w:val="24"/>
          <w:lang w:val="es-CL"/>
        </w:rPr>
      </w:pPr>
      <w:r w:rsidRPr="00B80C84">
        <w:rPr>
          <w:sz w:val="24"/>
          <w:lang w:val="es-CL"/>
        </w:rPr>
        <w:t xml:space="preserve">Impuestos correctivos en una segunda etapa </w:t>
      </w:r>
    </w:p>
    <w:p w14:paraId="54DB6D1A" w14:textId="77777777" w:rsidR="00B80C84" w:rsidRDefault="00B80C84">
      <w:pPr>
        <w:rPr>
          <w:b/>
          <w:sz w:val="28"/>
          <w:lang w:val="es-CL"/>
        </w:rPr>
      </w:pPr>
    </w:p>
    <w:p w14:paraId="00F56E51" w14:textId="615469AA" w:rsidR="00BC7A3A" w:rsidRDefault="007D3361">
      <w:pPr>
        <w:rPr>
          <w:b/>
          <w:sz w:val="24"/>
          <w:lang w:val="es-CL"/>
        </w:rPr>
      </w:pPr>
      <w:r>
        <w:rPr>
          <w:b/>
          <w:sz w:val="24"/>
          <w:lang w:val="es-CL"/>
        </w:rPr>
        <w:t xml:space="preserve">1.- </w:t>
      </w:r>
      <w:r w:rsidR="00BC7A3A" w:rsidRPr="00BC7A3A">
        <w:rPr>
          <w:b/>
          <w:sz w:val="24"/>
          <w:lang w:val="es-CL"/>
        </w:rPr>
        <w:t>Nuevo Impuesto a la riqueza</w:t>
      </w:r>
      <w:r w:rsidR="005A278E">
        <w:rPr>
          <w:b/>
          <w:sz w:val="24"/>
          <w:lang w:val="es-CL"/>
        </w:rPr>
        <w:t xml:space="preserve"> (al patrimonio)</w:t>
      </w:r>
      <w:r w:rsidR="00CD0273">
        <w:rPr>
          <w:b/>
          <w:sz w:val="24"/>
          <w:lang w:val="es-CL"/>
        </w:rPr>
        <w:t>.</w:t>
      </w:r>
    </w:p>
    <w:p w14:paraId="6295D42B" w14:textId="77777777" w:rsidR="005A278E" w:rsidRDefault="005A278E" w:rsidP="005A278E">
      <w:pPr>
        <w:jc w:val="both"/>
        <w:rPr>
          <w:lang w:val="es-CL"/>
        </w:rPr>
      </w:pPr>
      <w:r>
        <w:rPr>
          <w:lang w:val="es-CL"/>
        </w:rPr>
        <w:t xml:space="preserve">Se crea un impuesto al patrimonio con tasa del 1% sobre lo que exceda de USD5 Millones y tasa del 1,8% lo que excede de USD </w:t>
      </w:r>
      <w:r w:rsidR="00A65456">
        <w:rPr>
          <w:lang w:val="es-CL"/>
        </w:rPr>
        <w:t>1</w:t>
      </w:r>
      <w:r>
        <w:rPr>
          <w:lang w:val="es-CL"/>
        </w:rPr>
        <w:t>5 Millones</w:t>
      </w:r>
      <w:r w:rsidR="00A65456">
        <w:rPr>
          <w:rStyle w:val="Refdenotaalpie"/>
          <w:lang w:val="es-CL"/>
        </w:rPr>
        <w:footnoteReference w:id="1"/>
      </w:r>
      <w:r w:rsidR="00E7621C">
        <w:rPr>
          <w:lang w:val="es-CL"/>
        </w:rPr>
        <w:t>.</w:t>
      </w:r>
    </w:p>
    <w:p w14:paraId="28F95F0C" w14:textId="77777777" w:rsidR="00433CD4" w:rsidRDefault="00E7621C" w:rsidP="005A278E">
      <w:pPr>
        <w:jc w:val="both"/>
        <w:rPr>
          <w:lang w:val="es-CL"/>
        </w:rPr>
      </w:pPr>
      <w:r>
        <w:rPr>
          <w:lang w:val="es-CL"/>
        </w:rPr>
        <w:t>Se podrán utilizar como crédito contra este impuesto otros impuestos patrimoniales, tales como:</w:t>
      </w:r>
    </w:p>
    <w:p w14:paraId="01C0241B" w14:textId="77777777" w:rsidR="00433CD4" w:rsidRPr="00433CD4" w:rsidRDefault="00E7621C" w:rsidP="00433CD4">
      <w:pPr>
        <w:pStyle w:val="Prrafodelista"/>
        <w:numPr>
          <w:ilvl w:val="0"/>
          <w:numId w:val="2"/>
        </w:numPr>
        <w:jc w:val="both"/>
        <w:rPr>
          <w:lang w:val="es-CL"/>
        </w:rPr>
      </w:pPr>
      <w:r w:rsidRPr="00433CD4">
        <w:rPr>
          <w:lang w:val="es-CL"/>
        </w:rPr>
        <w:t xml:space="preserve">El impuesto territorial,  </w:t>
      </w:r>
    </w:p>
    <w:p w14:paraId="4335E3FE" w14:textId="77777777" w:rsidR="00433CD4" w:rsidRDefault="00E7621C" w:rsidP="00433CD4">
      <w:pPr>
        <w:pStyle w:val="Prrafodelista"/>
        <w:numPr>
          <w:ilvl w:val="0"/>
          <w:numId w:val="2"/>
        </w:numPr>
        <w:jc w:val="both"/>
        <w:rPr>
          <w:lang w:val="es-CL"/>
        </w:rPr>
      </w:pPr>
      <w:r w:rsidRPr="00433CD4">
        <w:rPr>
          <w:lang w:val="es-CL"/>
        </w:rPr>
        <w:t xml:space="preserve">La sobretasa del impuesto territorial, </w:t>
      </w:r>
      <w:r w:rsidR="00433CD4">
        <w:rPr>
          <w:lang w:val="es-CL"/>
        </w:rPr>
        <w:t>y</w:t>
      </w:r>
    </w:p>
    <w:p w14:paraId="05786C5C" w14:textId="77777777" w:rsidR="00E7621C" w:rsidRDefault="00433CD4" w:rsidP="00433CD4">
      <w:pPr>
        <w:pStyle w:val="Prrafodelista"/>
        <w:numPr>
          <w:ilvl w:val="0"/>
          <w:numId w:val="2"/>
        </w:numPr>
        <w:jc w:val="both"/>
        <w:rPr>
          <w:lang w:val="es-CL"/>
        </w:rPr>
      </w:pPr>
      <w:r>
        <w:rPr>
          <w:lang w:val="es-CL"/>
        </w:rPr>
        <w:t>L</w:t>
      </w:r>
      <w:r w:rsidR="00E7621C" w:rsidRPr="00433CD4">
        <w:rPr>
          <w:lang w:val="es-CL"/>
        </w:rPr>
        <w:t>a tasa al difer</w:t>
      </w:r>
      <w:r w:rsidR="00B3763E" w:rsidRPr="00433CD4">
        <w:rPr>
          <w:lang w:val="es-CL"/>
        </w:rPr>
        <w:t xml:space="preserve">imiento de impuestos personales (ver punto </w:t>
      </w:r>
      <w:r w:rsidR="00CB3798">
        <w:rPr>
          <w:lang w:val="es-CL"/>
        </w:rPr>
        <w:t>2</w:t>
      </w:r>
      <w:r w:rsidR="00B3763E" w:rsidRPr="00433CD4">
        <w:rPr>
          <w:lang w:val="es-CL"/>
        </w:rPr>
        <w:t>).</w:t>
      </w:r>
    </w:p>
    <w:p w14:paraId="77E1AACF" w14:textId="20F45CB6" w:rsidR="0019558B" w:rsidRDefault="0019558B" w:rsidP="0019558B">
      <w:pPr>
        <w:rPr>
          <w:sz w:val="18"/>
          <w:szCs w:val="18"/>
          <w:lang w:val="es-CL"/>
        </w:rPr>
      </w:pPr>
      <w:r w:rsidRPr="00433CD4">
        <w:rPr>
          <w:b/>
          <w:lang w:val="es-CL"/>
        </w:rPr>
        <w:t xml:space="preserve">Tabla en USD </w:t>
      </w:r>
      <w:r w:rsidRPr="00433CD4">
        <w:rPr>
          <w:sz w:val="18"/>
          <w:lang w:val="es-CL"/>
        </w:rPr>
        <w:t xml:space="preserve">(T/C $864) </w:t>
      </w:r>
      <w:r>
        <w:rPr>
          <w:lang w:val="es-CL"/>
        </w:rPr>
        <w:tab/>
      </w:r>
      <w:r w:rsidR="00EF65DA">
        <w:rPr>
          <w:lang w:val="es-CL"/>
        </w:rPr>
        <w:t xml:space="preserve">                                                            </w:t>
      </w:r>
      <w:r w:rsidRPr="00433CD4">
        <w:rPr>
          <w:b/>
          <w:lang w:val="es-CL"/>
        </w:rPr>
        <w:t>Tabla en $</w:t>
      </w:r>
      <w:r w:rsidR="00CD0273">
        <w:rPr>
          <w:b/>
          <w:lang w:val="es-CL"/>
        </w:rPr>
        <w:t xml:space="preserve"> </w:t>
      </w:r>
      <w:r w:rsidRPr="00433CD4">
        <w:rPr>
          <w:sz w:val="18"/>
          <w:szCs w:val="18"/>
          <w:lang w:val="es-CL"/>
        </w:rPr>
        <w:t xml:space="preserve">(UTM proyectada $60.000) </w:t>
      </w:r>
    </w:p>
    <w:tbl>
      <w:tblPr>
        <w:tblW w:w="10004" w:type="dxa"/>
        <w:tblInd w:w="-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1266"/>
        <w:gridCol w:w="1266"/>
        <w:gridCol w:w="576"/>
        <w:gridCol w:w="1031"/>
        <w:gridCol w:w="233"/>
        <w:gridCol w:w="1534"/>
        <w:gridCol w:w="1534"/>
        <w:gridCol w:w="576"/>
        <w:gridCol w:w="1255"/>
      </w:tblGrid>
      <w:tr w:rsidR="0019558B" w:rsidRPr="0019558B" w14:paraId="41321FE6" w14:textId="77777777" w:rsidTr="00CD0273">
        <w:trPr>
          <w:trHeight w:val="779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002060"/>
            <w:vAlign w:val="center"/>
            <w:hideMark/>
          </w:tcPr>
          <w:p w14:paraId="2762B98B" w14:textId="77777777" w:rsidR="0019558B" w:rsidRPr="0019558B" w:rsidRDefault="0019558B" w:rsidP="0019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>N° Tramo</w:t>
            </w:r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2060"/>
            <w:vAlign w:val="center"/>
            <w:hideMark/>
          </w:tcPr>
          <w:p w14:paraId="1174C42B" w14:textId="77777777" w:rsidR="0019558B" w:rsidRPr="0019558B" w:rsidRDefault="0019558B" w:rsidP="0019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</w:pPr>
            <w:proofErr w:type="gramStart"/>
            <w:r w:rsidRPr="0019558B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>Desde  USD</w:t>
            </w:r>
            <w:proofErr w:type="gramEnd"/>
          </w:p>
        </w:tc>
        <w:tc>
          <w:tcPr>
            <w:tcW w:w="126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2060"/>
            <w:vAlign w:val="center"/>
            <w:hideMark/>
          </w:tcPr>
          <w:p w14:paraId="479661B7" w14:textId="77777777" w:rsidR="0019558B" w:rsidRPr="0019558B" w:rsidRDefault="0019558B" w:rsidP="0019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>Hasta USD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2060"/>
            <w:vAlign w:val="center"/>
            <w:hideMark/>
          </w:tcPr>
          <w:p w14:paraId="6F2F76E1" w14:textId="77777777" w:rsidR="0019558B" w:rsidRPr="0019558B" w:rsidRDefault="0019558B" w:rsidP="0019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>Tasa</w:t>
            </w:r>
          </w:p>
        </w:tc>
        <w:tc>
          <w:tcPr>
            <w:tcW w:w="10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2060"/>
            <w:vAlign w:val="center"/>
            <w:hideMark/>
          </w:tcPr>
          <w:p w14:paraId="0AF087EF" w14:textId="77777777" w:rsidR="0019558B" w:rsidRPr="0019558B" w:rsidRDefault="0019558B" w:rsidP="0019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>Rebaja USD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8868" w14:textId="77777777" w:rsidR="0019558B" w:rsidRPr="0019558B" w:rsidRDefault="0019558B" w:rsidP="00195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14:paraId="11CCDA8C" w14:textId="77777777" w:rsidR="0019558B" w:rsidRPr="0019558B" w:rsidRDefault="0019558B" w:rsidP="0019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>Desde $</w:t>
            </w:r>
          </w:p>
        </w:tc>
        <w:tc>
          <w:tcPr>
            <w:tcW w:w="15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14:paraId="7AE8DB63" w14:textId="77777777" w:rsidR="0019558B" w:rsidRPr="0019558B" w:rsidRDefault="0019558B" w:rsidP="0019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>Hasta $</w:t>
            </w:r>
          </w:p>
        </w:tc>
        <w:tc>
          <w:tcPr>
            <w:tcW w:w="5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14:paraId="52355D73" w14:textId="77777777" w:rsidR="0019558B" w:rsidRPr="0019558B" w:rsidRDefault="0019558B" w:rsidP="0019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>Tasa</w:t>
            </w:r>
          </w:p>
        </w:tc>
        <w:tc>
          <w:tcPr>
            <w:tcW w:w="1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14:paraId="644EE19D" w14:textId="77777777" w:rsidR="0019558B" w:rsidRPr="0019558B" w:rsidRDefault="0019558B" w:rsidP="0019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>Rebaja $</w:t>
            </w:r>
          </w:p>
        </w:tc>
      </w:tr>
      <w:tr w:rsidR="0019558B" w:rsidRPr="0019558B" w14:paraId="5331184B" w14:textId="77777777" w:rsidTr="00CD0273">
        <w:trPr>
          <w:trHeight w:val="255"/>
        </w:trPr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888E" w14:textId="77777777" w:rsidR="0019558B" w:rsidRPr="0019558B" w:rsidRDefault="0019558B" w:rsidP="0019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98CCC" w14:textId="77777777" w:rsidR="0019558B" w:rsidRPr="0019558B" w:rsidRDefault="0019558B" w:rsidP="00195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      -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B4673" w14:textId="77777777" w:rsidR="0019558B" w:rsidRPr="0019558B" w:rsidRDefault="0019558B" w:rsidP="00195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5.000.000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A8989" w14:textId="77777777" w:rsidR="0019558B" w:rsidRPr="0019558B" w:rsidRDefault="0019558B" w:rsidP="0019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color w:val="000000"/>
                <w:lang w:eastAsia="es-ES"/>
              </w:rPr>
              <w:t>0,0%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B2BDA" w14:textId="77777777" w:rsidR="0019558B" w:rsidRPr="0019558B" w:rsidRDefault="0019558B" w:rsidP="00195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- 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374B" w14:textId="77777777" w:rsidR="0019558B" w:rsidRPr="0019558B" w:rsidRDefault="0019558B" w:rsidP="00195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BFDB4" w14:textId="77777777" w:rsidR="0019558B" w:rsidRPr="0019558B" w:rsidRDefault="0019558B" w:rsidP="00195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          - </w:t>
            </w:r>
          </w:p>
        </w:tc>
        <w:tc>
          <w:tcPr>
            <w:tcW w:w="15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0CAD7" w14:textId="77777777" w:rsidR="0019558B" w:rsidRPr="0019558B" w:rsidRDefault="0019558B" w:rsidP="00195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4.320.000.000 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27BE4" w14:textId="77777777" w:rsidR="0019558B" w:rsidRPr="0019558B" w:rsidRDefault="0019558B" w:rsidP="0019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color w:val="000000"/>
                <w:lang w:eastAsia="es-ES"/>
              </w:rPr>
              <w:t>0,0%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78EE1" w14:textId="77777777" w:rsidR="0019558B" w:rsidRPr="0019558B" w:rsidRDefault="0019558B" w:rsidP="00195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    - </w:t>
            </w:r>
          </w:p>
        </w:tc>
      </w:tr>
      <w:tr w:rsidR="0019558B" w:rsidRPr="0019558B" w14:paraId="156A3AC3" w14:textId="77777777" w:rsidTr="00CD0273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DC4D3" w14:textId="77777777" w:rsidR="0019558B" w:rsidRPr="0019558B" w:rsidRDefault="0019558B" w:rsidP="0019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48261" w14:textId="77777777" w:rsidR="0019558B" w:rsidRPr="0019558B" w:rsidRDefault="0019558B" w:rsidP="00195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5.000.000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AB820" w14:textId="77777777" w:rsidR="0019558B" w:rsidRPr="0019558B" w:rsidRDefault="0019558B" w:rsidP="00195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15.000.000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8B41" w14:textId="77777777" w:rsidR="0019558B" w:rsidRPr="0019558B" w:rsidRDefault="0019558B" w:rsidP="0019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color w:val="000000"/>
                <w:lang w:eastAsia="es-ES"/>
              </w:rPr>
              <w:t>1,0%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8F81B" w14:textId="77777777" w:rsidR="0019558B" w:rsidRPr="0019558B" w:rsidRDefault="0019558B" w:rsidP="00195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50.000,0 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0631" w14:textId="77777777" w:rsidR="0019558B" w:rsidRPr="0019558B" w:rsidRDefault="0019558B" w:rsidP="00195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14C3D" w14:textId="77777777" w:rsidR="0019558B" w:rsidRPr="0019558B" w:rsidRDefault="0019558B" w:rsidP="00195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4.320.000.000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669BE" w14:textId="77777777" w:rsidR="0019558B" w:rsidRPr="0019558B" w:rsidRDefault="0019558B" w:rsidP="00195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12.960.000.000 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96F5" w14:textId="77777777" w:rsidR="0019558B" w:rsidRPr="0019558B" w:rsidRDefault="0019558B" w:rsidP="0019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color w:val="000000"/>
                <w:lang w:eastAsia="es-ES"/>
              </w:rPr>
              <w:t>1,0%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31570" w14:textId="77777777" w:rsidR="0019558B" w:rsidRPr="0019558B" w:rsidRDefault="0019558B" w:rsidP="00195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43.200.000 </w:t>
            </w:r>
          </w:p>
        </w:tc>
      </w:tr>
      <w:tr w:rsidR="0019558B" w:rsidRPr="0019558B" w14:paraId="4FF32711" w14:textId="77777777" w:rsidTr="00CD0273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12D9" w14:textId="77777777" w:rsidR="0019558B" w:rsidRPr="0019558B" w:rsidRDefault="0019558B" w:rsidP="0019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8D7AA" w14:textId="77777777" w:rsidR="0019558B" w:rsidRPr="0019558B" w:rsidRDefault="0019558B" w:rsidP="00195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15.000.00</w:t>
            </w:r>
            <w:r w:rsidR="0020797E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65D83" w14:textId="77777777" w:rsidR="0019558B" w:rsidRPr="0019558B" w:rsidRDefault="0019558B" w:rsidP="00195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     -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E52BE" w14:textId="77777777" w:rsidR="0019558B" w:rsidRPr="0019558B" w:rsidRDefault="0019558B" w:rsidP="0019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color w:val="000000"/>
                <w:lang w:eastAsia="es-ES"/>
              </w:rPr>
              <w:t>1,8%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908EE" w14:textId="77777777" w:rsidR="0019558B" w:rsidRPr="0019558B" w:rsidRDefault="0019558B" w:rsidP="00195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170.000,0 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7E5D" w14:textId="77777777" w:rsidR="0019558B" w:rsidRPr="0019558B" w:rsidRDefault="0019558B" w:rsidP="00195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45879" w14:textId="77777777" w:rsidR="0019558B" w:rsidRPr="0019558B" w:rsidRDefault="0019558B" w:rsidP="00195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12.960.000.00</w:t>
            </w:r>
            <w:r w:rsidR="0020797E">
              <w:rPr>
                <w:rFonts w:ascii="Calibri" w:eastAsia="Times New Roman" w:hAnsi="Calibri" w:cs="Calibri"/>
                <w:color w:val="000000"/>
                <w:lang w:eastAsia="es-ES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31DFC" w14:textId="77777777" w:rsidR="0019558B" w:rsidRPr="0019558B" w:rsidRDefault="0019558B" w:rsidP="00195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                           -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2190C" w14:textId="77777777" w:rsidR="0019558B" w:rsidRPr="0019558B" w:rsidRDefault="0019558B" w:rsidP="00195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color w:val="000000"/>
                <w:lang w:eastAsia="es-ES"/>
              </w:rPr>
              <w:t>1,8%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7CCA8" w14:textId="77777777" w:rsidR="0019558B" w:rsidRPr="0019558B" w:rsidRDefault="0019558B" w:rsidP="00195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19558B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146.880.000 </w:t>
            </w:r>
          </w:p>
        </w:tc>
      </w:tr>
    </w:tbl>
    <w:p w14:paraId="3E2E8F71" w14:textId="77777777" w:rsidR="0019558B" w:rsidRDefault="0019558B" w:rsidP="005A278E">
      <w:pPr>
        <w:jc w:val="both"/>
        <w:rPr>
          <w:lang w:val="es-CL"/>
        </w:rPr>
      </w:pPr>
    </w:p>
    <w:p w14:paraId="1B41BAD8" w14:textId="77777777" w:rsidR="00DD6C50" w:rsidRDefault="00DD6C50" w:rsidP="005A278E">
      <w:pPr>
        <w:jc w:val="both"/>
        <w:rPr>
          <w:lang w:val="es-CL"/>
        </w:rPr>
      </w:pPr>
      <w:r>
        <w:rPr>
          <w:lang w:val="es-CL"/>
        </w:rPr>
        <w:lastRenderedPageBreak/>
        <w:t xml:space="preserve">Lo anterior implica que una vez superado </w:t>
      </w:r>
      <w:r w:rsidR="00D35AC0">
        <w:rPr>
          <w:lang w:val="es-CL"/>
        </w:rPr>
        <w:t xml:space="preserve">los USD5.000.000,00 </w:t>
      </w:r>
      <w:r w:rsidR="00433CD4">
        <w:rPr>
          <w:lang w:val="es-CL"/>
        </w:rPr>
        <w:t>de patrimonio, el e</w:t>
      </w:r>
      <w:r w:rsidR="00D35AC0">
        <w:rPr>
          <w:lang w:val="es-CL"/>
        </w:rPr>
        <w:t xml:space="preserve">xceso entre </w:t>
      </w:r>
      <w:r w:rsidR="00433CD4">
        <w:rPr>
          <w:lang w:val="es-CL"/>
        </w:rPr>
        <w:t xml:space="preserve">los </w:t>
      </w:r>
      <w:r w:rsidR="00D35AC0">
        <w:rPr>
          <w:lang w:val="es-CL"/>
        </w:rPr>
        <w:t>USD 5 y USD 15 pagará un 1%, luego lo que supere los USD 15, pagará un 1,8%.</w:t>
      </w:r>
    </w:p>
    <w:p w14:paraId="43A9AD50" w14:textId="77777777" w:rsidR="001D1151" w:rsidRDefault="001D1151" w:rsidP="00C55F5D">
      <w:pPr>
        <w:jc w:val="both"/>
        <w:rPr>
          <w:lang w:val="es-CL"/>
        </w:rPr>
      </w:pPr>
      <w:r>
        <w:rPr>
          <w:lang w:val="es-CL"/>
        </w:rPr>
        <w:t xml:space="preserve">Ejemplo: Patrimonio = USD 6.000.000 Impuesto = </w:t>
      </w:r>
      <w:r w:rsidR="00433CD4">
        <w:rPr>
          <w:lang w:val="es-CL"/>
        </w:rPr>
        <w:t>USD 10.000,00 (USD 1.000.000 * 1%)</w:t>
      </w:r>
    </w:p>
    <w:p w14:paraId="17FFA438" w14:textId="5DE3C2E7" w:rsidR="00CB3798" w:rsidRDefault="00CB3798" w:rsidP="00CB3798">
      <w:pPr>
        <w:rPr>
          <w:b/>
          <w:sz w:val="24"/>
          <w:lang w:val="es-CL"/>
        </w:rPr>
      </w:pPr>
      <w:r>
        <w:rPr>
          <w:b/>
          <w:sz w:val="24"/>
          <w:lang w:val="es-CL"/>
        </w:rPr>
        <w:t>2.- Impuesto al diferimiento de impuesto</w:t>
      </w:r>
      <w:r w:rsidR="00CD0273">
        <w:rPr>
          <w:b/>
          <w:sz w:val="24"/>
          <w:lang w:val="es-CL"/>
        </w:rPr>
        <w:t>s.</w:t>
      </w:r>
    </w:p>
    <w:p w14:paraId="454BA8AC" w14:textId="77777777" w:rsidR="00CB3798" w:rsidRDefault="00CB3798" w:rsidP="00CB3798">
      <w:pPr>
        <w:jc w:val="both"/>
        <w:rPr>
          <w:lang w:val="es-CL"/>
        </w:rPr>
      </w:pPr>
      <w:r>
        <w:rPr>
          <w:lang w:val="es-CL"/>
        </w:rPr>
        <w:t>Se establece un impuesto con tasa del 1,8% al diferimiento de impuestos personales en sociedades no operativas.</w:t>
      </w:r>
    </w:p>
    <w:p w14:paraId="0292AE66" w14:textId="77777777" w:rsidR="00CB3798" w:rsidRDefault="00CB3798" w:rsidP="00CB3798">
      <w:pPr>
        <w:rPr>
          <w:lang w:val="es-CL"/>
        </w:rPr>
      </w:pPr>
      <w:r>
        <w:rPr>
          <w:lang w:val="es-CL"/>
        </w:rPr>
        <w:t xml:space="preserve">Esta tasa solamente será aplicable a empresas cuyos ingresos provienen en más </w:t>
      </w:r>
      <w:r w:rsidR="00DB7700">
        <w:rPr>
          <w:lang w:val="es-CL"/>
        </w:rPr>
        <w:t>de</w:t>
      </w:r>
      <w:r>
        <w:rPr>
          <w:lang w:val="es-CL"/>
        </w:rPr>
        <w:t xml:space="preserve"> un 50% de rentas pasivas, tales como dividendos intereses o arriendos de inmuebles.</w:t>
      </w:r>
    </w:p>
    <w:p w14:paraId="79419644" w14:textId="2710308A" w:rsidR="00BC7A3A" w:rsidRPr="00BC7A3A" w:rsidRDefault="00854584">
      <w:pPr>
        <w:rPr>
          <w:b/>
          <w:sz w:val="24"/>
          <w:lang w:val="es-CL"/>
        </w:rPr>
      </w:pPr>
      <w:r>
        <w:rPr>
          <w:b/>
          <w:sz w:val="24"/>
          <w:lang w:val="es-CL"/>
        </w:rPr>
        <w:t>3</w:t>
      </w:r>
      <w:r w:rsidR="007D3361">
        <w:rPr>
          <w:b/>
          <w:sz w:val="24"/>
          <w:lang w:val="es-CL"/>
        </w:rPr>
        <w:t xml:space="preserve">.- </w:t>
      </w:r>
      <w:r w:rsidR="00BC7A3A">
        <w:rPr>
          <w:b/>
          <w:sz w:val="24"/>
          <w:lang w:val="es-CL"/>
        </w:rPr>
        <w:t>Impuestos Personales</w:t>
      </w:r>
      <w:r w:rsidR="00CD0273">
        <w:rPr>
          <w:b/>
          <w:sz w:val="24"/>
          <w:lang w:val="es-CL"/>
        </w:rPr>
        <w:t>.</w:t>
      </w:r>
    </w:p>
    <w:p w14:paraId="642E9A86" w14:textId="3322E1A5" w:rsidR="00BC7A3A" w:rsidRPr="00B3763E" w:rsidRDefault="00BC7A3A" w:rsidP="00B3763E">
      <w:pPr>
        <w:pStyle w:val="Prrafodelista"/>
        <w:numPr>
          <w:ilvl w:val="0"/>
          <w:numId w:val="1"/>
        </w:numPr>
        <w:spacing w:after="0"/>
        <w:jc w:val="both"/>
        <w:rPr>
          <w:lang w:val="es-CL"/>
        </w:rPr>
      </w:pPr>
      <w:r w:rsidRPr="00B3763E">
        <w:rPr>
          <w:lang w:val="es-CL"/>
        </w:rPr>
        <w:t>La tasa máxima del impuesto global complementario se establece en 43% (actualmente es de 40%)</w:t>
      </w:r>
      <w:r w:rsidR="00CD0273">
        <w:rPr>
          <w:lang w:val="es-CL"/>
        </w:rPr>
        <w:t>,</w:t>
      </w:r>
      <w:r w:rsidRPr="00B3763E">
        <w:rPr>
          <w:lang w:val="es-CL"/>
        </w:rPr>
        <w:t xml:space="preserve"> ubicándose en el promedio de los países de la OCDE.</w:t>
      </w:r>
    </w:p>
    <w:p w14:paraId="6AEAEF34" w14:textId="5C3743AB" w:rsidR="00BC7A3A" w:rsidRPr="00B3763E" w:rsidRDefault="00BC7A3A" w:rsidP="00B3763E">
      <w:pPr>
        <w:pStyle w:val="Prrafodelista"/>
        <w:numPr>
          <w:ilvl w:val="0"/>
          <w:numId w:val="1"/>
        </w:numPr>
        <w:spacing w:after="0"/>
        <w:jc w:val="both"/>
        <w:rPr>
          <w:lang w:val="es-CL"/>
        </w:rPr>
      </w:pPr>
      <w:r w:rsidRPr="00B3763E">
        <w:rPr>
          <w:lang w:val="es-CL"/>
        </w:rPr>
        <w:t xml:space="preserve">Aumentan las tasas </w:t>
      </w:r>
      <w:r w:rsidR="00DB7700" w:rsidRPr="00B3763E">
        <w:rPr>
          <w:lang w:val="es-CL"/>
        </w:rPr>
        <w:t>marginales de</w:t>
      </w:r>
      <w:r w:rsidRPr="00B3763E">
        <w:rPr>
          <w:lang w:val="es-CL"/>
        </w:rPr>
        <w:t xml:space="preserve"> ingresos mensuales superiores a 4,2 Millones mensuales ($50 millones anuales)</w:t>
      </w:r>
      <w:r w:rsidR="00CD0273">
        <w:rPr>
          <w:lang w:val="es-CL"/>
        </w:rPr>
        <w:t>.</w:t>
      </w:r>
    </w:p>
    <w:p w14:paraId="51E786A4" w14:textId="4F2BD0F6" w:rsidR="00BC7A3A" w:rsidRPr="00B3763E" w:rsidRDefault="00BC7A3A" w:rsidP="00B3763E">
      <w:pPr>
        <w:pStyle w:val="Prrafodelista"/>
        <w:numPr>
          <w:ilvl w:val="0"/>
          <w:numId w:val="1"/>
        </w:numPr>
        <w:spacing w:after="0"/>
        <w:jc w:val="both"/>
        <w:rPr>
          <w:lang w:val="es-CL"/>
        </w:rPr>
      </w:pPr>
      <w:r w:rsidRPr="00B3763E">
        <w:rPr>
          <w:lang w:val="es-CL"/>
        </w:rPr>
        <w:t xml:space="preserve">Todos los ingresos provenientes de la explotación de inmuebles estarán gravados con impuestos </w:t>
      </w:r>
      <w:r w:rsidR="00A65456" w:rsidRPr="00B3763E">
        <w:rPr>
          <w:lang w:val="es-CL"/>
        </w:rPr>
        <w:t>(se elimina el beneficio de los DFL 2)</w:t>
      </w:r>
      <w:r w:rsidR="00CD0273">
        <w:rPr>
          <w:lang w:val="es-CL"/>
        </w:rPr>
        <w:t>.</w:t>
      </w:r>
    </w:p>
    <w:p w14:paraId="3A251905" w14:textId="5EFC3F0A" w:rsidR="00BC7A3A" w:rsidRPr="00B3763E" w:rsidRDefault="00BC7A3A" w:rsidP="00B3763E">
      <w:pPr>
        <w:pStyle w:val="Prrafodelista"/>
        <w:numPr>
          <w:ilvl w:val="0"/>
          <w:numId w:val="1"/>
        </w:numPr>
        <w:spacing w:after="0"/>
        <w:jc w:val="both"/>
        <w:rPr>
          <w:lang w:val="es-CL"/>
        </w:rPr>
      </w:pPr>
      <w:r w:rsidRPr="00B3763E">
        <w:rPr>
          <w:lang w:val="es-CL"/>
        </w:rPr>
        <w:t>Limita la deducción de intereses que provengan de créditos hipotecarios al máximo de un crédito</w:t>
      </w:r>
      <w:r w:rsidR="00CD0273">
        <w:rPr>
          <w:lang w:val="es-CL"/>
        </w:rPr>
        <w:t>.</w:t>
      </w:r>
    </w:p>
    <w:p w14:paraId="3C3DADAF" w14:textId="77777777" w:rsidR="00EF65DA" w:rsidRDefault="00B3763E" w:rsidP="00B3763E">
      <w:pPr>
        <w:pStyle w:val="Prrafodelista"/>
        <w:numPr>
          <w:ilvl w:val="0"/>
          <w:numId w:val="1"/>
        </w:numPr>
        <w:spacing w:after="0"/>
        <w:jc w:val="both"/>
        <w:rPr>
          <w:lang w:val="es-CL"/>
        </w:rPr>
      </w:pPr>
      <w:r>
        <w:rPr>
          <w:lang w:val="es-CL"/>
        </w:rPr>
        <w:t>Nuevos Beneficios</w:t>
      </w:r>
      <w:r w:rsidR="00EF65DA">
        <w:rPr>
          <w:lang w:val="es-CL"/>
        </w:rPr>
        <w:t xml:space="preserve"> para rebajar los impuestos personales.</w:t>
      </w:r>
    </w:p>
    <w:p w14:paraId="253CD663" w14:textId="77777777" w:rsidR="00B3763E" w:rsidRDefault="00B3763E" w:rsidP="00EF65DA">
      <w:pPr>
        <w:pStyle w:val="Prrafodelista"/>
        <w:spacing w:after="0"/>
        <w:jc w:val="both"/>
        <w:rPr>
          <w:lang w:val="es-CL"/>
        </w:rPr>
      </w:pPr>
      <w:r>
        <w:rPr>
          <w:lang w:val="es-CL"/>
        </w:rPr>
        <w:t xml:space="preserve"> </w:t>
      </w:r>
    </w:p>
    <w:p w14:paraId="29F95634" w14:textId="77777777" w:rsidR="00EF65DA" w:rsidRDefault="00BC7A3A" w:rsidP="00EF65DA">
      <w:pPr>
        <w:pStyle w:val="Prrafodelista"/>
        <w:numPr>
          <w:ilvl w:val="1"/>
          <w:numId w:val="5"/>
        </w:numPr>
        <w:spacing w:after="0"/>
        <w:jc w:val="both"/>
        <w:rPr>
          <w:lang w:val="es-CL"/>
        </w:rPr>
      </w:pPr>
      <w:r w:rsidRPr="00B3763E">
        <w:rPr>
          <w:lang w:val="es-CL"/>
        </w:rPr>
        <w:t xml:space="preserve">Permite deducir de la </w:t>
      </w:r>
      <w:r w:rsidR="00B3763E">
        <w:rPr>
          <w:lang w:val="es-CL"/>
        </w:rPr>
        <w:t xml:space="preserve">base imponible del impuesto global complementario </w:t>
      </w:r>
      <w:r w:rsidRPr="00B3763E">
        <w:rPr>
          <w:lang w:val="es-CL"/>
        </w:rPr>
        <w:t xml:space="preserve">los gastos </w:t>
      </w:r>
      <w:r w:rsidR="005A278E" w:rsidRPr="00B3763E">
        <w:rPr>
          <w:lang w:val="es-CL"/>
        </w:rPr>
        <w:t>pagados por concepto de arriendo</w:t>
      </w:r>
      <w:r w:rsidR="00B3763E">
        <w:rPr>
          <w:lang w:val="es-CL"/>
        </w:rPr>
        <w:t>, con tope de</w:t>
      </w:r>
      <w:r w:rsidR="005A278E" w:rsidRPr="00B3763E">
        <w:rPr>
          <w:lang w:val="es-CL"/>
        </w:rPr>
        <w:t xml:space="preserve"> $450.000 mensuales</w:t>
      </w:r>
      <w:r w:rsidR="00EF65DA">
        <w:rPr>
          <w:lang w:val="es-CL"/>
        </w:rPr>
        <w:t>.</w:t>
      </w:r>
    </w:p>
    <w:p w14:paraId="5D6CD23E" w14:textId="77777777" w:rsidR="00BC7A3A" w:rsidRPr="00B3763E" w:rsidRDefault="00B3763E" w:rsidP="00EF65DA">
      <w:pPr>
        <w:pStyle w:val="Prrafodelista"/>
        <w:numPr>
          <w:ilvl w:val="1"/>
          <w:numId w:val="5"/>
        </w:numPr>
        <w:spacing w:after="0"/>
        <w:jc w:val="both"/>
        <w:rPr>
          <w:lang w:val="es-CL"/>
        </w:rPr>
      </w:pPr>
      <w:r>
        <w:rPr>
          <w:lang w:val="es-CL"/>
        </w:rPr>
        <w:t>Asimismo, se permite rebajar los gasto</w:t>
      </w:r>
      <w:r w:rsidR="007B2F58">
        <w:rPr>
          <w:lang w:val="es-CL"/>
        </w:rPr>
        <w:t>s</w:t>
      </w:r>
      <w:r>
        <w:rPr>
          <w:lang w:val="es-CL"/>
        </w:rPr>
        <w:t xml:space="preserve"> asociados al cuidado de menores de 2 años y de personas con grados de dependencia </w:t>
      </w:r>
      <w:r w:rsidR="007B2F58">
        <w:rPr>
          <w:lang w:val="es-CL"/>
        </w:rPr>
        <w:t>severa,</w:t>
      </w:r>
      <w:r>
        <w:rPr>
          <w:lang w:val="es-CL"/>
        </w:rPr>
        <w:t xml:space="preserve"> con tope de $550.000. </w:t>
      </w:r>
    </w:p>
    <w:p w14:paraId="32CA8E0F" w14:textId="77777777" w:rsidR="00C06C79" w:rsidRDefault="00C06C79" w:rsidP="005A278E">
      <w:pPr>
        <w:rPr>
          <w:b/>
          <w:sz w:val="24"/>
          <w:lang w:val="es-CL"/>
        </w:rPr>
      </w:pPr>
    </w:p>
    <w:p w14:paraId="1FB8A0C1" w14:textId="0E0B3C07" w:rsidR="005A278E" w:rsidRDefault="00854584" w:rsidP="005A278E">
      <w:pPr>
        <w:rPr>
          <w:b/>
          <w:sz w:val="24"/>
          <w:lang w:val="es-CL"/>
        </w:rPr>
      </w:pPr>
      <w:r>
        <w:rPr>
          <w:b/>
          <w:sz w:val="24"/>
          <w:lang w:val="es-CL"/>
        </w:rPr>
        <w:t>4</w:t>
      </w:r>
      <w:r w:rsidR="007D3361">
        <w:rPr>
          <w:b/>
          <w:sz w:val="24"/>
          <w:lang w:val="es-CL"/>
        </w:rPr>
        <w:t>.- D</w:t>
      </w:r>
      <w:r w:rsidR="005A278E">
        <w:rPr>
          <w:b/>
          <w:sz w:val="24"/>
          <w:lang w:val="es-CL"/>
        </w:rPr>
        <w:t>esintegración de Impuestos grandes empresas</w:t>
      </w:r>
      <w:r w:rsidR="00567061">
        <w:rPr>
          <w:b/>
          <w:sz w:val="24"/>
          <w:lang w:val="es-CL"/>
        </w:rPr>
        <w:t xml:space="preserve"> (Sistema Dual)</w:t>
      </w:r>
      <w:r w:rsidR="00CD0273">
        <w:rPr>
          <w:b/>
          <w:sz w:val="24"/>
          <w:lang w:val="es-CL"/>
        </w:rPr>
        <w:t>.</w:t>
      </w:r>
    </w:p>
    <w:p w14:paraId="08FBD4A6" w14:textId="3FEDA964" w:rsidR="00F87648" w:rsidRDefault="00F87648" w:rsidP="005A278E">
      <w:pPr>
        <w:jc w:val="both"/>
        <w:rPr>
          <w:lang w:val="es-CL"/>
        </w:rPr>
      </w:pPr>
      <w:r>
        <w:rPr>
          <w:lang w:val="es-CL"/>
        </w:rPr>
        <w:t>El sistema semi-dual implica que se establece un nuevo régimen general para las grandes empresas, reemplazando el actual sistema semi integrado.</w:t>
      </w:r>
    </w:p>
    <w:p w14:paraId="40199130" w14:textId="37E6193C" w:rsidR="00567061" w:rsidRDefault="00F87648" w:rsidP="005A278E">
      <w:pPr>
        <w:jc w:val="both"/>
        <w:rPr>
          <w:lang w:val="es-CL"/>
        </w:rPr>
      </w:pPr>
      <w:r>
        <w:rPr>
          <w:lang w:val="es-CL"/>
        </w:rPr>
        <w:t>En este nuevo sistema</w:t>
      </w:r>
      <w:r w:rsidR="00571F59">
        <w:rPr>
          <w:lang w:val="es-CL"/>
        </w:rPr>
        <w:t xml:space="preserve">, </w:t>
      </w:r>
      <w:r>
        <w:rPr>
          <w:lang w:val="es-CL"/>
        </w:rPr>
        <w:t>l</w:t>
      </w:r>
      <w:r w:rsidR="005A278E">
        <w:rPr>
          <w:lang w:val="es-CL"/>
        </w:rPr>
        <w:t xml:space="preserve">as grandes empresas pagarán el impuesto de primera categoría con tasa del 25%, no </w:t>
      </w:r>
      <w:r w:rsidR="00DB7700">
        <w:rPr>
          <w:lang w:val="es-CL"/>
        </w:rPr>
        <w:t>obstante,</w:t>
      </w:r>
      <w:r w:rsidR="005A278E">
        <w:rPr>
          <w:lang w:val="es-CL"/>
        </w:rPr>
        <w:t xml:space="preserve"> deberán pagar una </w:t>
      </w:r>
      <w:r w:rsidR="00DB7700">
        <w:rPr>
          <w:lang w:val="es-CL"/>
        </w:rPr>
        <w:t>tasa de</w:t>
      </w:r>
      <w:r w:rsidR="005A278E">
        <w:rPr>
          <w:lang w:val="es-CL"/>
        </w:rPr>
        <w:t xml:space="preserve"> desarrollo del 2%, la cual se podrá pagar en forma de impuesto o a través de gastos que aumenten la productividad (I+D)</w:t>
      </w:r>
      <w:r w:rsidR="00A65456">
        <w:rPr>
          <w:lang w:val="es-CL"/>
        </w:rPr>
        <w:t xml:space="preserve">. Por otro </w:t>
      </w:r>
      <w:r w:rsidR="00DB7700">
        <w:rPr>
          <w:lang w:val="es-CL"/>
        </w:rPr>
        <w:t>lado,</w:t>
      </w:r>
      <w:r w:rsidR="00A65456">
        <w:rPr>
          <w:lang w:val="es-CL"/>
        </w:rPr>
        <w:t xml:space="preserve"> el impuesto de primera categoría no puede ser usado como crédito</w:t>
      </w:r>
      <w:r w:rsidR="00567061">
        <w:rPr>
          <w:lang w:val="es-CL"/>
        </w:rPr>
        <w:t xml:space="preserve"> contra impuestos finales</w:t>
      </w:r>
      <w:r w:rsidR="00571F59">
        <w:rPr>
          <w:lang w:val="es-CL"/>
        </w:rPr>
        <w:t>.</w:t>
      </w:r>
    </w:p>
    <w:p w14:paraId="2FE3B0B6" w14:textId="77777777" w:rsidR="00FE0FC1" w:rsidRDefault="00DB7700" w:rsidP="005A278E">
      <w:pPr>
        <w:jc w:val="both"/>
        <w:rPr>
          <w:lang w:val="es-CL"/>
        </w:rPr>
      </w:pPr>
      <w:r>
        <w:rPr>
          <w:lang w:val="es-CL"/>
        </w:rPr>
        <w:t>Asimismo,</w:t>
      </w:r>
      <w:r w:rsidR="00FE0FC1">
        <w:rPr>
          <w:lang w:val="es-CL"/>
        </w:rPr>
        <w:t xml:space="preserve"> se</w:t>
      </w:r>
      <w:r w:rsidR="00A65456">
        <w:rPr>
          <w:lang w:val="es-CL"/>
        </w:rPr>
        <w:t xml:space="preserve"> establece un impuesto a las rentas de capital (</w:t>
      </w:r>
      <w:r>
        <w:rPr>
          <w:lang w:val="es-CL"/>
        </w:rPr>
        <w:t>IRC</w:t>
      </w:r>
      <w:r w:rsidR="00A65456">
        <w:rPr>
          <w:lang w:val="es-CL"/>
        </w:rPr>
        <w:t>) del 22% aplicado sobre l</w:t>
      </w:r>
      <w:r w:rsidR="0010457E">
        <w:rPr>
          <w:lang w:val="es-CL"/>
        </w:rPr>
        <w:t>os</w:t>
      </w:r>
      <w:r w:rsidR="00A65456">
        <w:rPr>
          <w:lang w:val="es-CL"/>
        </w:rPr>
        <w:t xml:space="preserve"> dividendos o retiros efectuados desde una </w:t>
      </w:r>
      <w:r w:rsidR="0010457E">
        <w:rPr>
          <w:lang w:val="es-CL"/>
        </w:rPr>
        <w:t xml:space="preserve">gran </w:t>
      </w:r>
      <w:r w:rsidR="00A65456">
        <w:rPr>
          <w:lang w:val="es-CL"/>
        </w:rPr>
        <w:t>empresa</w:t>
      </w:r>
      <w:r w:rsidR="0010457E">
        <w:rPr>
          <w:lang w:val="es-CL"/>
        </w:rPr>
        <w:t>, sujeta al sistema dual.</w:t>
      </w:r>
    </w:p>
    <w:p w14:paraId="4CFEFA87" w14:textId="2ADDB9C3" w:rsidR="00FE0FC1" w:rsidRDefault="00FE0FC1" w:rsidP="005A278E">
      <w:pPr>
        <w:jc w:val="both"/>
        <w:rPr>
          <w:lang w:val="es-CL"/>
        </w:rPr>
      </w:pPr>
      <w:r>
        <w:rPr>
          <w:lang w:val="es-CL"/>
        </w:rPr>
        <w:t>Con este diseño, la tributación total de los dividendos, para contribuyentes domiciliados y residentes en Chile, no será superior al 43%</w:t>
      </w:r>
      <w:r w:rsidR="00C06C79">
        <w:rPr>
          <w:lang w:val="es-CL"/>
        </w:rPr>
        <w:t>.</w:t>
      </w:r>
    </w:p>
    <w:p w14:paraId="172C27D6" w14:textId="77777777" w:rsidR="00571F59" w:rsidRDefault="00571F59" w:rsidP="005A278E">
      <w:pPr>
        <w:jc w:val="both"/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223"/>
      </w:tblGrid>
      <w:tr w:rsidR="00FE0FC1" w14:paraId="1700A883" w14:textId="77777777" w:rsidTr="004F0DCC">
        <w:trPr>
          <w:trHeight w:val="268"/>
        </w:trPr>
        <w:tc>
          <w:tcPr>
            <w:tcW w:w="3599" w:type="dxa"/>
            <w:gridSpan w:val="2"/>
            <w:shd w:val="clear" w:color="auto" w:fill="002060"/>
          </w:tcPr>
          <w:p w14:paraId="6CDDE0A9" w14:textId="77777777" w:rsidR="00FE0FC1" w:rsidRPr="00FE0FC1" w:rsidRDefault="00FE0FC1" w:rsidP="00FE0FC1">
            <w:pPr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lastRenderedPageBreak/>
              <w:t>EMPRESA</w:t>
            </w:r>
          </w:p>
        </w:tc>
      </w:tr>
      <w:tr w:rsidR="00FE0FC1" w14:paraId="0EC35179" w14:textId="77777777" w:rsidTr="00FE0FC1">
        <w:trPr>
          <w:trHeight w:val="268"/>
        </w:trPr>
        <w:tc>
          <w:tcPr>
            <w:tcW w:w="2376" w:type="dxa"/>
            <w:shd w:val="clear" w:color="auto" w:fill="002060"/>
          </w:tcPr>
          <w:p w14:paraId="0F4D5979" w14:textId="77777777" w:rsidR="00FE0FC1" w:rsidRPr="00FE0FC1" w:rsidRDefault="00FE0FC1" w:rsidP="00FE0FC1">
            <w:pPr>
              <w:jc w:val="center"/>
              <w:rPr>
                <w:b/>
                <w:lang w:val="es-CL"/>
              </w:rPr>
            </w:pPr>
            <w:r w:rsidRPr="00FE0FC1">
              <w:rPr>
                <w:b/>
                <w:lang w:val="es-CL"/>
              </w:rPr>
              <w:t>Detalle</w:t>
            </w:r>
          </w:p>
        </w:tc>
        <w:tc>
          <w:tcPr>
            <w:tcW w:w="1223" w:type="dxa"/>
            <w:shd w:val="clear" w:color="auto" w:fill="002060"/>
          </w:tcPr>
          <w:p w14:paraId="256E2D0F" w14:textId="77777777" w:rsidR="00FE0FC1" w:rsidRPr="00FE0FC1" w:rsidRDefault="00FE0FC1" w:rsidP="00FE0FC1">
            <w:pPr>
              <w:jc w:val="center"/>
              <w:rPr>
                <w:b/>
                <w:lang w:val="es-CL"/>
              </w:rPr>
            </w:pPr>
            <w:r w:rsidRPr="00FE0FC1">
              <w:rPr>
                <w:b/>
                <w:lang w:val="es-CL"/>
              </w:rPr>
              <w:t>Monto</w:t>
            </w:r>
          </w:p>
        </w:tc>
      </w:tr>
      <w:tr w:rsidR="00FE0FC1" w14:paraId="57B50E4F" w14:textId="77777777" w:rsidTr="00FE0FC1">
        <w:trPr>
          <w:trHeight w:val="256"/>
        </w:trPr>
        <w:tc>
          <w:tcPr>
            <w:tcW w:w="2376" w:type="dxa"/>
          </w:tcPr>
          <w:p w14:paraId="76194B32" w14:textId="77777777" w:rsidR="00FE0FC1" w:rsidRDefault="00FE0FC1" w:rsidP="005A278E">
            <w:pPr>
              <w:jc w:val="both"/>
              <w:rPr>
                <w:lang w:val="es-CL"/>
              </w:rPr>
            </w:pPr>
            <w:r>
              <w:rPr>
                <w:lang w:val="es-CL"/>
              </w:rPr>
              <w:t>Utilidad Gran Empresa</w:t>
            </w:r>
          </w:p>
        </w:tc>
        <w:tc>
          <w:tcPr>
            <w:tcW w:w="1223" w:type="dxa"/>
          </w:tcPr>
          <w:p w14:paraId="4366BEDD" w14:textId="77777777" w:rsidR="00FE0FC1" w:rsidRDefault="00FE0FC1" w:rsidP="00FE0FC1">
            <w:pPr>
              <w:jc w:val="right"/>
              <w:rPr>
                <w:lang w:val="es-CL"/>
              </w:rPr>
            </w:pPr>
            <w:r>
              <w:rPr>
                <w:lang w:val="es-CL"/>
              </w:rPr>
              <w:t>100</w:t>
            </w:r>
          </w:p>
        </w:tc>
      </w:tr>
      <w:tr w:rsidR="00FE0FC1" w14:paraId="3002DE06" w14:textId="77777777" w:rsidTr="00FE0FC1">
        <w:trPr>
          <w:trHeight w:val="256"/>
        </w:trPr>
        <w:tc>
          <w:tcPr>
            <w:tcW w:w="2376" w:type="dxa"/>
          </w:tcPr>
          <w:p w14:paraId="57F2C75C" w14:textId="77777777" w:rsidR="00FE0FC1" w:rsidRDefault="00FE0FC1" w:rsidP="005A278E">
            <w:pPr>
              <w:jc w:val="both"/>
              <w:rPr>
                <w:lang w:val="es-CL"/>
              </w:rPr>
            </w:pPr>
            <w:r>
              <w:rPr>
                <w:lang w:val="es-CL"/>
              </w:rPr>
              <w:t xml:space="preserve">IDPC 27% (25% + 2%) </w:t>
            </w:r>
          </w:p>
        </w:tc>
        <w:tc>
          <w:tcPr>
            <w:tcW w:w="1223" w:type="dxa"/>
          </w:tcPr>
          <w:p w14:paraId="17D70C63" w14:textId="77777777" w:rsidR="00FE0FC1" w:rsidRDefault="00FE0FC1" w:rsidP="00FE0FC1">
            <w:pPr>
              <w:jc w:val="right"/>
              <w:rPr>
                <w:lang w:val="es-CL"/>
              </w:rPr>
            </w:pPr>
            <w:r>
              <w:rPr>
                <w:lang w:val="es-CL"/>
              </w:rPr>
              <w:t xml:space="preserve">  27</w:t>
            </w:r>
          </w:p>
        </w:tc>
      </w:tr>
      <w:tr w:rsidR="00FE0FC1" w14:paraId="2B1BFAE2" w14:textId="77777777" w:rsidTr="00FE0FC1">
        <w:trPr>
          <w:trHeight w:val="256"/>
        </w:trPr>
        <w:tc>
          <w:tcPr>
            <w:tcW w:w="2376" w:type="dxa"/>
          </w:tcPr>
          <w:p w14:paraId="790C5E86" w14:textId="77777777" w:rsidR="00FE0FC1" w:rsidRPr="00FE0FC1" w:rsidRDefault="00FE0FC1" w:rsidP="005A278E">
            <w:pPr>
              <w:jc w:val="both"/>
              <w:rPr>
                <w:b/>
                <w:lang w:val="es-CL"/>
              </w:rPr>
            </w:pPr>
            <w:r w:rsidRPr="00FE0FC1">
              <w:rPr>
                <w:b/>
                <w:lang w:val="es-CL"/>
              </w:rPr>
              <w:t>Utilidad Disponible</w:t>
            </w:r>
          </w:p>
        </w:tc>
        <w:tc>
          <w:tcPr>
            <w:tcW w:w="1223" w:type="dxa"/>
          </w:tcPr>
          <w:p w14:paraId="6A932C6B" w14:textId="77777777" w:rsidR="00FE0FC1" w:rsidRPr="00FE0FC1" w:rsidRDefault="00FE0FC1" w:rsidP="00FE0FC1">
            <w:pPr>
              <w:jc w:val="right"/>
              <w:rPr>
                <w:b/>
                <w:lang w:val="es-CL"/>
              </w:rPr>
            </w:pPr>
            <w:r w:rsidRPr="00FE0FC1">
              <w:rPr>
                <w:b/>
                <w:lang w:val="es-CL"/>
              </w:rPr>
              <w:t xml:space="preserve"> 73</w:t>
            </w:r>
          </w:p>
        </w:tc>
      </w:tr>
    </w:tbl>
    <w:p w14:paraId="6B748D29" w14:textId="77777777" w:rsidR="00FE0FC1" w:rsidRDefault="00FE0FC1" w:rsidP="005A278E">
      <w:pPr>
        <w:jc w:val="both"/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223"/>
      </w:tblGrid>
      <w:tr w:rsidR="00FE0FC1" w14:paraId="63CE9178" w14:textId="77777777" w:rsidTr="00664E70">
        <w:trPr>
          <w:trHeight w:val="268"/>
        </w:trPr>
        <w:tc>
          <w:tcPr>
            <w:tcW w:w="3599" w:type="dxa"/>
            <w:gridSpan w:val="2"/>
            <w:shd w:val="clear" w:color="auto" w:fill="002060"/>
          </w:tcPr>
          <w:p w14:paraId="71584EA9" w14:textId="77777777" w:rsidR="00FE0FC1" w:rsidRPr="00FE0FC1" w:rsidRDefault="00FE0FC1" w:rsidP="00FE0FC1">
            <w:pPr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ACCIONISTA</w:t>
            </w:r>
          </w:p>
        </w:tc>
      </w:tr>
      <w:tr w:rsidR="00FE0FC1" w14:paraId="7B1A9C2F" w14:textId="77777777" w:rsidTr="00664E70">
        <w:trPr>
          <w:trHeight w:val="268"/>
        </w:trPr>
        <w:tc>
          <w:tcPr>
            <w:tcW w:w="2376" w:type="dxa"/>
            <w:shd w:val="clear" w:color="auto" w:fill="002060"/>
          </w:tcPr>
          <w:p w14:paraId="06AF8DFA" w14:textId="77777777" w:rsidR="00FE0FC1" w:rsidRPr="00FE0FC1" w:rsidRDefault="00FE0FC1" w:rsidP="00664E70">
            <w:pPr>
              <w:jc w:val="center"/>
              <w:rPr>
                <w:b/>
                <w:lang w:val="es-CL"/>
              </w:rPr>
            </w:pPr>
            <w:r w:rsidRPr="00FE0FC1">
              <w:rPr>
                <w:b/>
                <w:lang w:val="es-CL"/>
              </w:rPr>
              <w:t>Detalle</w:t>
            </w:r>
          </w:p>
        </w:tc>
        <w:tc>
          <w:tcPr>
            <w:tcW w:w="1223" w:type="dxa"/>
            <w:shd w:val="clear" w:color="auto" w:fill="002060"/>
          </w:tcPr>
          <w:p w14:paraId="17E65A15" w14:textId="77777777" w:rsidR="00FE0FC1" w:rsidRPr="00FE0FC1" w:rsidRDefault="00FE0FC1" w:rsidP="00664E70">
            <w:pPr>
              <w:jc w:val="center"/>
              <w:rPr>
                <w:b/>
                <w:lang w:val="es-CL"/>
              </w:rPr>
            </w:pPr>
            <w:r w:rsidRPr="00FE0FC1">
              <w:rPr>
                <w:b/>
                <w:lang w:val="es-CL"/>
              </w:rPr>
              <w:t>Monto</w:t>
            </w:r>
          </w:p>
        </w:tc>
      </w:tr>
      <w:tr w:rsidR="00FE0FC1" w14:paraId="559D3919" w14:textId="77777777" w:rsidTr="00664E70">
        <w:trPr>
          <w:trHeight w:val="256"/>
        </w:trPr>
        <w:tc>
          <w:tcPr>
            <w:tcW w:w="2376" w:type="dxa"/>
          </w:tcPr>
          <w:p w14:paraId="46E6BEFE" w14:textId="77777777" w:rsidR="00FE0FC1" w:rsidRDefault="00FE0FC1" w:rsidP="00664E70">
            <w:pPr>
              <w:jc w:val="both"/>
              <w:rPr>
                <w:lang w:val="es-CL"/>
              </w:rPr>
            </w:pPr>
            <w:r>
              <w:rPr>
                <w:lang w:val="es-CL"/>
              </w:rPr>
              <w:t>Dividendo</w:t>
            </w:r>
          </w:p>
        </w:tc>
        <w:tc>
          <w:tcPr>
            <w:tcW w:w="1223" w:type="dxa"/>
          </w:tcPr>
          <w:p w14:paraId="1D3A034C" w14:textId="77777777" w:rsidR="00FE0FC1" w:rsidRDefault="00FE0FC1" w:rsidP="00664E70">
            <w:pPr>
              <w:jc w:val="right"/>
              <w:rPr>
                <w:lang w:val="es-CL"/>
              </w:rPr>
            </w:pPr>
            <w:r>
              <w:rPr>
                <w:lang w:val="es-CL"/>
              </w:rPr>
              <w:t>73</w:t>
            </w:r>
          </w:p>
        </w:tc>
      </w:tr>
      <w:tr w:rsidR="00FE0FC1" w14:paraId="37345FD6" w14:textId="77777777" w:rsidTr="00664E70">
        <w:trPr>
          <w:trHeight w:val="256"/>
        </w:trPr>
        <w:tc>
          <w:tcPr>
            <w:tcW w:w="2376" w:type="dxa"/>
          </w:tcPr>
          <w:p w14:paraId="0BA460A8" w14:textId="77777777" w:rsidR="00FE0FC1" w:rsidRDefault="00FE0FC1" w:rsidP="00FE0FC1">
            <w:pPr>
              <w:jc w:val="both"/>
              <w:rPr>
                <w:lang w:val="es-CL"/>
              </w:rPr>
            </w:pPr>
            <w:r>
              <w:rPr>
                <w:lang w:val="es-CL"/>
              </w:rPr>
              <w:t xml:space="preserve">IRC 22%  </w:t>
            </w:r>
          </w:p>
        </w:tc>
        <w:tc>
          <w:tcPr>
            <w:tcW w:w="1223" w:type="dxa"/>
          </w:tcPr>
          <w:p w14:paraId="3C1CC813" w14:textId="77777777" w:rsidR="00FE0FC1" w:rsidRDefault="00FE0FC1" w:rsidP="00664E70">
            <w:pPr>
              <w:jc w:val="right"/>
              <w:rPr>
                <w:lang w:val="es-CL"/>
              </w:rPr>
            </w:pPr>
            <w:r>
              <w:rPr>
                <w:lang w:val="es-CL"/>
              </w:rPr>
              <w:t>16</w:t>
            </w:r>
          </w:p>
        </w:tc>
      </w:tr>
      <w:tr w:rsidR="00FE0FC1" w14:paraId="63F6BF2C" w14:textId="77777777" w:rsidTr="00664E70">
        <w:trPr>
          <w:trHeight w:val="256"/>
        </w:trPr>
        <w:tc>
          <w:tcPr>
            <w:tcW w:w="2376" w:type="dxa"/>
          </w:tcPr>
          <w:p w14:paraId="6F4D73E6" w14:textId="77777777" w:rsidR="00FE0FC1" w:rsidRPr="00FE0FC1" w:rsidRDefault="00FE0FC1" w:rsidP="00664E70">
            <w:pPr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>Dividendo Neto</w:t>
            </w:r>
          </w:p>
        </w:tc>
        <w:tc>
          <w:tcPr>
            <w:tcW w:w="1223" w:type="dxa"/>
          </w:tcPr>
          <w:p w14:paraId="0964329F" w14:textId="77777777" w:rsidR="00FE0FC1" w:rsidRPr="00FE0FC1" w:rsidRDefault="00FE0FC1" w:rsidP="00664E70">
            <w:pPr>
              <w:jc w:val="right"/>
              <w:rPr>
                <w:b/>
                <w:lang w:val="es-CL"/>
              </w:rPr>
            </w:pPr>
            <w:r>
              <w:rPr>
                <w:b/>
                <w:lang w:val="es-CL"/>
              </w:rPr>
              <w:t>57</w:t>
            </w:r>
          </w:p>
        </w:tc>
      </w:tr>
    </w:tbl>
    <w:p w14:paraId="0C10EAC8" w14:textId="77777777" w:rsidR="00FE0FC1" w:rsidRDefault="00FE0FC1" w:rsidP="005A278E">
      <w:pPr>
        <w:jc w:val="both"/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223"/>
      </w:tblGrid>
      <w:tr w:rsidR="00C06C79" w14:paraId="5B2F9F81" w14:textId="77777777" w:rsidTr="00664E70">
        <w:trPr>
          <w:trHeight w:val="268"/>
        </w:trPr>
        <w:tc>
          <w:tcPr>
            <w:tcW w:w="3599" w:type="dxa"/>
            <w:gridSpan w:val="2"/>
            <w:shd w:val="clear" w:color="auto" w:fill="002060"/>
          </w:tcPr>
          <w:p w14:paraId="000BAE70" w14:textId="77777777" w:rsidR="00C06C79" w:rsidRPr="00FE0FC1" w:rsidRDefault="00C06C79" w:rsidP="00664E70">
            <w:pPr>
              <w:jc w:val="center"/>
              <w:rPr>
                <w:b/>
                <w:lang w:val="es-CL"/>
              </w:rPr>
            </w:pPr>
            <w:r>
              <w:rPr>
                <w:b/>
                <w:lang w:val="es-CL"/>
              </w:rPr>
              <w:t>TOTAL CARGA TRIBUTARIA</w:t>
            </w:r>
          </w:p>
        </w:tc>
      </w:tr>
      <w:tr w:rsidR="00C06C79" w14:paraId="7EBBAC64" w14:textId="77777777" w:rsidTr="00664E70">
        <w:trPr>
          <w:trHeight w:val="268"/>
        </w:trPr>
        <w:tc>
          <w:tcPr>
            <w:tcW w:w="2376" w:type="dxa"/>
            <w:shd w:val="clear" w:color="auto" w:fill="002060"/>
          </w:tcPr>
          <w:p w14:paraId="4D070722" w14:textId="77777777" w:rsidR="00C06C79" w:rsidRPr="00FE0FC1" w:rsidRDefault="00C06C79" w:rsidP="00664E70">
            <w:pPr>
              <w:jc w:val="center"/>
              <w:rPr>
                <w:b/>
                <w:lang w:val="es-CL"/>
              </w:rPr>
            </w:pPr>
            <w:r w:rsidRPr="00FE0FC1">
              <w:rPr>
                <w:b/>
                <w:lang w:val="es-CL"/>
              </w:rPr>
              <w:t>Detalle</w:t>
            </w:r>
          </w:p>
        </w:tc>
        <w:tc>
          <w:tcPr>
            <w:tcW w:w="1223" w:type="dxa"/>
            <w:shd w:val="clear" w:color="auto" w:fill="002060"/>
          </w:tcPr>
          <w:p w14:paraId="21A980B7" w14:textId="77777777" w:rsidR="00C06C79" w:rsidRPr="00FE0FC1" w:rsidRDefault="00C06C79" w:rsidP="00664E70">
            <w:pPr>
              <w:jc w:val="center"/>
              <w:rPr>
                <w:b/>
                <w:lang w:val="es-CL"/>
              </w:rPr>
            </w:pPr>
            <w:r w:rsidRPr="00FE0FC1">
              <w:rPr>
                <w:b/>
                <w:lang w:val="es-CL"/>
              </w:rPr>
              <w:t>Monto</w:t>
            </w:r>
          </w:p>
        </w:tc>
      </w:tr>
      <w:tr w:rsidR="00C06C79" w14:paraId="5B39C50B" w14:textId="77777777" w:rsidTr="00664E70">
        <w:trPr>
          <w:trHeight w:val="256"/>
        </w:trPr>
        <w:tc>
          <w:tcPr>
            <w:tcW w:w="2376" w:type="dxa"/>
          </w:tcPr>
          <w:p w14:paraId="00D17636" w14:textId="77777777" w:rsidR="00C06C79" w:rsidRDefault="00C06C79" w:rsidP="00664E70">
            <w:pPr>
              <w:jc w:val="both"/>
              <w:rPr>
                <w:lang w:val="es-CL"/>
              </w:rPr>
            </w:pPr>
            <w:r>
              <w:rPr>
                <w:lang w:val="es-CL"/>
              </w:rPr>
              <w:t>IDPC (pagado Empresa)</w:t>
            </w:r>
          </w:p>
        </w:tc>
        <w:tc>
          <w:tcPr>
            <w:tcW w:w="1223" w:type="dxa"/>
          </w:tcPr>
          <w:p w14:paraId="7EB0AF15" w14:textId="77777777" w:rsidR="00C06C79" w:rsidRDefault="00C06C79" w:rsidP="00664E70">
            <w:pPr>
              <w:jc w:val="right"/>
              <w:rPr>
                <w:lang w:val="es-CL"/>
              </w:rPr>
            </w:pPr>
            <w:r>
              <w:rPr>
                <w:lang w:val="es-CL"/>
              </w:rPr>
              <w:t>27</w:t>
            </w:r>
          </w:p>
        </w:tc>
      </w:tr>
      <w:tr w:rsidR="00C06C79" w14:paraId="7A3603F8" w14:textId="77777777" w:rsidTr="00664E70">
        <w:trPr>
          <w:trHeight w:val="256"/>
        </w:trPr>
        <w:tc>
          <w:tcPr>
            <w:tcW w:w="2376" w:type="dxa"/>
          </w:tcPr>
          <w:p w14:paraId="52492B82" w14:textId="77777777" w:rsidR="00C06C79" w:rsidRDefault="00C06C79" w:rsidP="00664E70">
            <w:pPr>
              <w:jc w:val="both"/>
              <w:rPr>
                <w:lang w:val="es-CL"/>
              </w:rPr>
            </w:pPr>
            <w:r>
              <w:rPr>
                <w:lang w:val="es-CL"/>
              </w:rPr>
              <w:t>IRC 22%  (retenido)</w:t>
            </w:r>
          </w:p>
        </w:tc>
        <w:tc>
          <w:tcPr>
            <w:tcW w:w="1223" w:type="dxa"/>
          </w:tcPr>
          <w:p w14:paraId="5C17055F" w14:textId="77777777" w:rsidR="00C06C79" w:rsidRDefault="00C06C79" w:rsidP="00664E70">
            <w:pPr>
              <w:jc w:val="right"/>
              <w:rPr>
                <w:lang w:val="es-CL"/>
              </w:rPr>
            </w:pPr>
            <w:r>
              <w:rPr>
                <w:lang w:val="es-CL"/>
              </w:rPr>
              <w:t>16</w:t>
            </w:r>
          </w:p>
        </w:tc>
      </w:tr>
      <w:tr w:rsidR="00C06C79" w14:paraId="2906BDD1" w14:textId="77777777" w:rsidTr="00664E70">
        <w:trPr>
          <w:trHeight w:val="256"/>
        </w:trPr>
        <w:tc>
          <w:tcPr>
            <w:tcW w:w="2376" w:type="dxa"/>
          </w:tcPr>
          <w:p w14:paraId="054347F8" w14:textId="1162D722" w:rsidR="00C06C79" w:rsidRPr="00FE0FC1" w:rsidRDefault="00DB7700" w:rsidP="00C06C79">
            <w:pPr>
              <w:jc w:val="both"/>
              <w:rPr>
                <w:b/>
                <w:lang w:val="es-CL"/>
              </w:rPr>
            </w:pPr>
            <w:r>
              <w:rPr>
                <w:b/>
                <w:lang w:val="es-CL"/>
              </w:rPr>
              <w:t>Total</w:t>
            </w:r>
            <w:r w:rsidR="00C06C79">
              <w:rPr>
                <w:b/>
                <w:lang w:val="es-CL"/>
              </w:rPr>
              <w:t xml:space="preserve"> carga tributaria</w:t>
            </w:r>
          </w:p>
        </w:tc>
        <w:tc>
          <w:tcPr>
            <w:tcW w:w="1223" w:type="dxa"/>
          </w:tcPr>
          <w:p w14:paraId="012CA6C6" w14:textId="77777777" w:rsidR="00C06C79" w:rsidRPr="00FE0FC1" w:rsidRDefault="00C06C79" w:rsidP="00664E70">
            <w:pPr>
              <w:jc w:val="right"/>
              <w:rPr>
                <w:b/>
                <w:lang w:val="es-CL"/>
              </w:rPr>
            </w:pPr>
            <w:r>
              <w:rPr>
                <w:b/>
                <w:lang w:val="es-CL"/>
              </w:rPr>
              <w:t>43</w:t>
            </w:r>
          </w:p>
        </w:tc>
      </w:tr>
    </w:tbl>
    <w:p w14:paraId="02ACC423" w14:textId="77777777" w:rsidR="00C06C79" w:rsidRDefault="00C06C79" w:rsidP="005A278E">
      <w:pPr>
        <w:jc w:val="both"/>
        <w:rPr>
          <w:lang w:val="es-CL"/>
        </w:rPr>
      </w:pPr>
    </w:p>
    <w:p w14:paraId="38ED1D16" w14:textId="20E0F93C" w:rsidR="00A65456" w:rsidRDefault="00854584" w:rsidP="00A65456">
      <w:pPr>
        <w:rPr>
          <w:b/>
          <w:sz w:val="24"/>
          <w:lang w:val="es-CL"/>
        </w:rPr>
      </w:pPr>
      <w:r>
        <w:rPr>
          <w:b/>
          <w:sz w:val="24"/>
          <w:lang w:val="es-CL"/>
        </w:rPr>
        <w:t>5</w:t>
      </w:r>
      <w:r w:rsidR="007D3361">
        <w:rPr>
          <w:b/>
          <w:sz w:val="24"/>
          <w:lang w:val="es-CL"/>
        </w:rPr>
        <w:t xml:space="preserve">.- </w:t>
      </w:r>
      <w:r w:rsidR="00A65456">
        <w:rPr>
          <w:b/>
          <w:sz w:val="24"/>
          <w:lang w:val="es-CL"/>
        </w:rPr>
        <w:t>Ganancia de Capital</w:t>
      </w:r>
      <w:r w:rsidR="00571F59">
        <w:rPr>
          <w:b/>
          <w:sz w:val="24"/>
          <w:lang w:val="es-CL"/>
        </w:rPr>
        <w:t>.</w:t>
      </w:r>
    </w:p>
    <w:p w14:paraId="7B81B72F" w14:textId="77777777" w:rsidR="00A65456" w:rsidRDefault="00A65456" w:rsidP="00A65456">
      <w:pPr>
        <w:jc w:val="both"/>
        <w:rPr>
          <w:lang w:val="es-CL"/>
        </w:rPr>
      </w:pPr>
      <w:r>
        <w:rPr>
          <w:lang w:val="es-CL"/>
        </w:rPr>
        <w:t xml:space="preserve">Respecto a las ganancias de capital en instrumentos bursátiles (acciones y otros), </w:t>
      </w:r>
      <w:r w:rsidR="009801CC">
        <w:rPr>
          <w:lang w:val="es-CL"/>
        </w:rPr>
        <w:t>las que según Ley 21.420</w:t>
      </w:r>
      <w:r>
        <w:rPr>
          <w:lang w:val="es-CL"/>
        </w:rPr>
        <w:t xml:space="preserve"> a partir de</w:t>
      </w:r>
      <w:r w:rsidR="009801CC">
        <w:rPr>
          <w:lang w:val="es-CL"/>
        </w:rPr>
        <w:t xml:space="preserve">l 02 </w:t>
      </w:r>
      <w:r w:rsidR="006A7DC5">
        <w:rPr>
          <w:lang w:val="es-CL"/>
        </w:rPr>
        <w:t>de septiembre</w:t>
      </w:r>
      <w:r>
        <w:rPr>
          <w:lang w:val="es-CL"/>
        </w:rPr>
        <w:t xml:space="preserve"> </w:t>
      </w:r>
      <w:r w:rsidR="009801CC">
        <w:rPr>
          <w:lang w:val="es-CL"/>
        </w:rPr>
        <w:t xml:space="preserve">de 2022 </w:t>
      </w:r>
      <w:r>
        <w:rPr>
          <w:lang w:val="es-CL"/>
        </w:rPr>
        <w:t>tributarían con tasa del 10%</w:t>
      </w:r>
      <w:r w:rsidR="00995000">
        <w:rPr>
          <w:lang w:val="es-CL"/>
        </w:rPr>
        <w:t xml:space="preserve"> (personas naturales y jurídicas)</w:t>
      </w:r>
      <w:r>
        <w:rPr>
          <w:lang w:val="es-CL"/>
        </w:rPr>
        <w:t xml:space="preserve">, quedarán sujetos a </w:t>
      </w:r>
      <w:r w:rsidR="00EF65DA">
        <w:rPr>
          <w:lang w:val="es-CL"/>
        </w:rPr>
        <w:t xml:space="preserve">una </w:t>
      </w:r>
      <w:r>
        <w:rPr>
          <w:lang w:val="es-CL"/>
        </w:rPr>
        <w:t>tasa del 22% con posibilidad de reliquidar el impuesto</w:t>
      </w:r>
      <w:r w:rsidR="009801CC">
        <w:rPr>
          <w:lang w:val="es-CL"/>
        </w:rPr>
        <w:t xml:space="preserve"> quienes tengan una tasa de impuesto global complementario menor.</w:t>
      </w:r>
    </w:p>
    <w:p w14:paraId="31C13A6F" w14:textId="5EDBA1DE" w:rsidR="0042678B" w:rsidRDefault="00854584" w:rsidP="0042678B">
      <w:pPr>
        <w:rPr>
          <w:b/>
          <w:sz w:val="24"/>
          <w:lang w:val="es-CL"/>
        </w:rPr>
      </w:pPr>
      <w:r>
        <w:rPr>
          <w:b/>
          <w:sz w:val="24"/>
          <w:lang w:val="es-CL"/>
        </w:rPr>
        <w:t>6</w:t>
      </w:r>
      <w:r w:rsidR="0042678B">
        <w:rPr>
          <w:b/>
          <w:sz w:val="24"/>
          <w:lang w:val="es-CL"/>
        </w:rPr>
        <w:t xml:space="preserve">.- </w:t>
      </w:r>
      <w:r w:rsidR="00E7621C">
        <w:rPr>
          <w:b/>
          <w:sz w:val="24"/>
          <w:lang w:val="es-CL"/>
        </w:rPr>
        <w:t xml:space="preserve">Límite a las </w:t>
      </w:r>
      <w:r w:rsidR="0042678B">
        <w:rPr>
          <w:b/>
          <w:sz w:val="24"/>
          <w:lang w:val="es-CL"/>
        </w:rPr>
        <w:t>Pérdidas Tributarias</w:t>
      </w:r>
      <w:r w:rsidR="00571F59">
        <w:rPr>
          <w:b/>
          <w:sz w:val="24"/>
          <w:lang w:val="es-CL"/>
        </w:rPr>
        <w:t>.</w:t>
      </w:r>
    </w:p>
    <w:p w14:paraId="5CEB8399" w14:textId="77777777" w:rsidR="00E7621C" w:rsidRDefault="00E7621C" w:rsidP="00E7621C">
      <w:pPr>
        <w:jc w:val="both"/>
        <w:rPr>
          <w:lang w:val="es-CL"/>
        </w:rPr>
      </w:pPr>
      <w:r>
        <w:rPr>
          <w:lang w:val="es-CL"/>
        </w:rPr>
        <w:t xml:space="preserve">Se mantiene la deducción de las pérdidas de arrastre sin límite de tiempo hacia ejercicios futuros, sin </w:t>
      </w:r>
      <w:r w:rsidR="00DB7700">
        <w:rPr>
          <w:lang w:val="es-CL"/>
        </w:rPr>
        <w:t>embargo,</w:t>
      </w:r>
      <w:r>
        <w:rPr>
          <w:lang w:val="es-CL"/>
        </w:rPr>
        <w:t xml:space="preserve"> dicha utilización tendrá como límite el 50% de la renta líquida imponible determinada en cada ejercicio.</w:t>
      </w:r>
    </w:p>
    <w:p w14:paraId="5949DB44" w14:textId="06707EF7" w:rsidR="00854584" w:rsidRDefault="00854584" w:rsidP="00854584">
      <w:pPr>
        <w:rPr>
          <w:b/>
          <w:sz w:val="24"/>
          <w:lang w:val="es-CL"/>
        </w:rPr>
      </w:pPr>
      <w:r>
        <w:rPr>
          <w:b/>
          <w:sz w:val="24"/>
          <w:lang w:val="es-CL"/>
        </w:rPr>
        <w:t>7.- Pymes</w:t>
      </w:r>
      <w:r w:rsidR="00571F59">
        <w:rPr>
          <w:b/>
          <w:sz w:val="24"/>
          <w:lang w:val="es-CL"/>
        </w:rPr>
        <w:t>.</w:t>
      </w:r>
    </w:p>
    <w:p w14:paraId="016DA5D6" w14:textId="780C49ED" w:rsidR="00EF65DA" w:rsidRDefault="00854584" w:rsidP="0020797E">
      <w:pPr>
        <w:jc w:val="both"/>
        <w:rPr>
          <w:lang w:val="es-CL"/>
        </w:rPr>
      </w:pPr>
      <w:r>
        <w:rPr>
          <w:lang w:val="es-CL"/>
        </w:rPr>
        <w:t>Se mantendrá la tasa del IDPC del 25</w:t>
      </w:r>
      <w:r w:rsidR="0020797E">
        <w:rPr>
          <w:lang w:val="es-CL"/>
        </w:rPr>
        <w:t>%</w:t>
      </w:r>
      <w:r w:rsidR="00571F59">
        <w:rPr>
          <w:lang w:val="es-CL"/>
        </w:rPr>
        <w:t>.</w:t>
      </w:r>
    </w:p>
    <w:p w14:paraId="667FA5F5" w14:textId="77777777" w:rsidR="00854584" w:rsidRDefault="00EF65DA" w:rsidP="0020797E">
      <w:pPr>
        <w:jc w:val="both"/>
        <w:rPr>
          <w:lang w:val="es-CL"/>
        </w:rPr>
      </w:pPr>
      <w:r>
        <w:rPr>
          <w:lang w:val="es-CL"/>
        </w:rPr>
        <w:t>El</w:t>
      </w:r>
      <w:r w:rsidR="00854584">
        <w:rPr>
          <w:lang w:val="es-CL"/>
        </w:rPr>
        <w:t xml:space="preserve"> régimen </w:t>
      </w:r>
      <w:r>
        <w:rPr>
          <w:lang w:val="es-CL"/>
        </w:rPr>
        <w:t xml:space="preserve">Pyme </w:t>
      </w:r>
      <w:r w:rsidR="00854584">
        <w:rPr>
          <w:lang w:val="es-CL"/>
        </w:rPr>
        <w:t>se mantiene completamente integrado</w:t>
      </w:r>
      <w:r>
        <w:rPr>
          <w:lang w:val="es-CL"/>
        </w:rPr>
        <w:t>, es decir, los créditos asociados a los retiros o dividendos pagados podrán darse de crédito en contra de los impuestos finales de los socios o accionistas.</w:t>
      </w:r>
    </w:p>
    <w:p w14:paraId="4A0E9015" w14:textId="0A7D05DB" w:rsidR="00854584" w:rsidRDefault="00854584" w:rsidP="0020797E">
      <w:pPr>
        <w:jc w:val="both"/>
        <w:rPr>
          <w:lang w:val="es-CL"/>
        </w:rPr>
      </w:pPr>
      <w:r>
        <w:rPr>
          <w:lang w:val="es-CL"/>
        </w:rPr>
        <w:t>Las Pymes podrán acceder al incentivo en I+D</w:t>
      </w:r>
      <w:r w:rsidR="00571F59">
        <w:rPr>
          <w:lang w:val="es-CL"/>
        </w:rPr>
        <w:t>,</w:t>
      </w:r>
      <w:r>
        <w:rPr>
          <w:lang w:val="es-CL"/>
        </w:rPr>
        <w:t xml:space="preserve"> el cual será crédito en contra del impuesto de primera categoría, crédito que será reembolsable en caso de pérdida.</w:t>
      </w:r>
    </w:p>
    <w:p w14:paraId="2BBA4009" w14:textId="2F49D50B" w:rsidR="00EF65DA" w:rsidRDefault="004F6B2F" w:rsidP="0020797E">
      <w:pPr>
        <w:jc w:val="both"/>
        <w:rPr>
          <w:lang w:val="es-CL"/>
        </w:rPr>
      </w:pPr>
      <w:r>
        <w:rPr>
          <w:lang w:val="es-CL"/>
        </w:rPr>
        <w:t>Respecto a las deudas tributarias, las Pymes accederán a una tasa de interés rebajada de 1% (actualmente es de un 1,5%). Adicionalmente cuanto las Pymes realicen convenios de pago con la T</w:t>
      </w:r>
      <w:r w:rsidR="00571F59">
        <w:rPr>
          <w:lang w:val="es-CL"/>
        </w:rPr>
        <w:t xml:space="preserve">esorería </w:t>
      </w:r>
      <w:r>
        <w:rPr>
          <w:lang w:val="es-CL"/>
        </w:rPr>
        <w:t>G</w:t>
      </w:r>
      <w:r w:rsidR="00571F59">
        <w:rPr>
          <w:lang w:val="es-CL"/>
        </w:rPr>
        <w:t xml:space="preserve">eneral de la </w:t>
      </w:r>
      <w:r>
        <w:rPr>
          <w:lang w:val="es-CL"/>
        </w:rPr>
        <w:t>R</w:t>
      </w:r>
      <w:r w:rsidR="00571F59">
        <w:rPr>
          <w:lang w:val="es-CL"/>
        </w:rPr>
        <w:t>epública</w:t>
      </w:r>
      <w:r>
        <w:rPr>
          <w:lang w:val="es-CL"/>
        </w:rPr>
        <w:t>, podrán pagar hasta en 12 cuotas sin intereses.</w:t>
      </w:r>
    </w:p>
    <w:p w14:paraId="23375AE9" w14:textId="77777777" w:rsidR="00CB3798" w:rsidRDefault="00CB3798" w:rsidP="00E7621C">
      <w:pPr>
        <w:jc w:val="both"/>
        <w:rPr>
          <w:b/>
          <w:sz w:val="24"/>
          <w:lang w:val="es-CL"/>
        </w:rPr>
      </w:pPr>
    </w:p>
    <w:p w14:paraId="7C219416" w14:textId="181ADB3E" w:rsidR="00854584" w:rsidRDefault="00854584" w:rsidP="00854584">
      <w:pPr>
        <w:rPr>
          <w:b/>
          <w:sz w:val="24"/>
          <w:lang w:val="es-CL"/>
        </w:rPr>
      </w:pPr>
      <w:r>
        <w:rPr>
          <w:b/>
          <w:sz w:val="24"/>
          <w:lang w:val="es-CL"/>
        </w:rPr>
        <w:lastRenderedPageBreak/>
        <w:t>8.- Cambios en la tributación de los Fondos de Inversión Privados y Públicos</w:t>
      </w:r>
      <w:r w:rsidR="00571F59">
        <w:rPr>
          <w:b/>
          <w:sz w:val="24"/>
          <w:lang w:val="es-CL"/>
        </w:rPr>
        <w:t>.</w:t>
      </w:r>
    </w:p>
    <w:p w14:paraId="2F3B148B" w14:textId="77777777" w:rsidR="00854584" w:rsidRDefault="00854584" w:rsidP="00854584">
      <w:pPr>
        <w:jc w:val="both"/>
        <w:rPr>
          <w:lang w:val="es-CL"/>
        </w:rPr>
      </w:pPr>
      <w:r>
        <w:rPr>
          <w:lang w:val="es-CL"/>
        </w:rPr>
        <w:t xml:space="preserve">Los </w:t>
      </w:r>
      <w:r w:rsidRPr="00490AA3">
        <w:rPr>
          <w:b/>
          <w:bCs/>
          <w:lang w:val="es-CL"/>
        </w:rPr>
        <w:t>F</w:t>
      </w:r>
      <w:r w:rsidRPr="007630BF">
        <w:rPr>
          <w:b/>
          <w:lang w:val="es-CL"/>
        </w:rPr>
        <w:t xml:space="preserve">ondos de Inversión Privados </w:t>
      </w:r>
      <w:r>
        <w:rPr>
          <w:lang w:val="es-CL"/>
        </w:rPr>
        <w:t>deberán pagar el impuesto de primera categoría, salvo en aquellos cuya política de inversión sea el capital de riesgo. Según la Comisión para el Mercado Financiero (CMF) e</w:t>
      </w:r>
      <w:r w:rsidRPr="000F27E6">
        <w:t>l capital de riesgo es una </w:t>
      </w:r>
      <w:r w:rsidRPr="000F27E6">
        <w:rPr>
          <w:b/>
          <w:bCs/>
        </w:rPr>
        <w:t>forma de financiar empresas que están naciendo y que no tienen un historial que permita confiar en sus resultados</w:t>
      </w:r>
      <w:r w:rsidRPr="000F27E6">
        <w:t> o tener la seguridad de que se recibirán retornos por el dinero que se le preste.</w:t>
      </w:r>
      <w:r>
        <w:rPr>
          <w:rStyle w:val="Refdenotaalpie"/>
        </w:rPr>
        <w:footnoteReference w:id="2"/>
      </w:r>
    </w:p>
    <w:p w14:paraId="088FD86A" w14:textId="77777777" w:rsidR="00854584" w:rsidRDefault="00854584" w:rsidP="00854584">
      <w:pPr>
        <w:jc w:val="both"/>
        <w:rPr>
          <w:lang w:val="es-CL"/>
        </w:rPr>
      </w:pPr>
      <w:r>
        <w:rPr>
          <w:lang w:val="es-CL"/>
        </w:rPr>
        <w:t xml:space="preserve">Los </w:t>
      </w:r>
      <w:r w:rsidRPr="007630BF">
        <w:rPr>
          <w:b/>
          <w:lang w:val="es-CL"/>
        </w:rPr>
        <w:t xml:space="preserve">Fondos de Inversión Públicos </w:t>
      </w:r>
      <w:r>
        <w:rPr>
          <w:lang w:val="es-CL"/>
        </w:rPr>
        <w:t>mantendrán la exención de impuesto de primera categoría, sin embargo, una vez que repartan utilidades hacia una persona jurídica, los dividendos quedarán sujetos al impuesto de primera categoría.</w:t>
      </w:r>
    </w:p>
    <w:p w14:paraId="45C2323A" w14:textId="67993DF2" w:rsidR="00854584" w:rsidRDefault="00854584" w:rsidP="00854584">
      <w:pPr>
        <w:rPr>
          <w:b/>
          <w:sz w:val="24"/>
          <w:lang w:val="es-CL"/>
        </w:rPr>
      </w:pPr>
      <w:r>
        <w:rPr>
          <w:b/>
          <w:sz w:val="24"/>
          <w:lang w:val="es-CL"/>
        </w:rPr>
        <w:t>9</w:t>
      </w:r>
      <w:r w:rsidRPr="0042678B">
        <w:rPr>
          <w:b/>
          <w:sz w:val="24"/>
          <w:lang w:val="es-CL"/>
        </w:rPr>
        <w:t>.- Royalty Minero</w:t>
      </w:r>
      <w:r w:rsidR="00490AA3">
        <w:rPr>
          <w:b/>
          <w:sz w:val="24"/>
          <w:lang w:val="es-CL"/>
        </w:rPr>
        <w:t>.</w:t>
      </w:r>
    </w:p>
    <w:p w14:paraId="460DC11F" w14:textId="77777777" w:rsidR="00854584" w:rsidRDefault="00854584" w:rsidP="00854584">
      <w:pPr>
        <w:jc w:val="both"/>
        <w:rPr>
          <w:lang w:val="es-CL"/>
        </w:rPr>
      </w:pPr>
      <w:r>
        <w:rPr>
          <w:lang w:val="es-CL"/>
        </w:rPr>
        <w:t>Se establece un nuevo royalty a la gran minería de carácter híbrido que combinará componentes sobre las ventas y un componente sobre la renta minera.</w:t>
      </w:r>
    </w:p>
    <w:p w14:paraId="32D408FF" w14:textId="44249AB7" w:rsidR="007630BF" w:rsidRDefault="007630BF" w:rsidP="007630BF">
      <w:pPr>
        <w:rPr>
          <w:b/>
          <w:sz w:val="24"/>
          <w:lang w:val="es-CL"/>
        </w:rPr>
      </w:pPr>
      <w:r>
        <w:rPr>
          <w:b/>
          <w:sz w:val="24"/>
          <w:lang w:val="es-CL"/>
        </w:rPr>
        <w:t>10.- Evasión y Elusión</w:t>
      </w:r>
      <w:r w:rsidR="00490AA3">
        <w:rPr>
          <w:b/>
          <w:sz w:val="24"/>
          <w:lang w:val="es-CL"/>
        </w:rPr>
        <w:t>.</w:t>
      </w:r>
    </w:p>
    <w:p w14:paraId="7757E110" w14:textId="4B503120" w:rsidR="00854584" w:rsidRPr="00854584" w:rsidRDefault="00854584" w:rsidP="00854584">
      <w:pPr>
        <w:pStyle w:val="Prrafodelista"/>
        <w:numPr>
          <w:ilvl w:val="0"/>
          <w:numId w:val="3"/>
        </w:numPr>
        <w:jc w:val="both"/>
        <w:rPr>
          <w:lang w:val="es-CL"/>
        </w:rPr>
      </w:pPr>
      <w:r w:rsidRPr="00854584">
        <w:rPr>
          <w:lang w:val="es-CL"/>
        </w:rPr>
        <w:t>Se crea un registro de beneficiarios finales, que permitirá conocer a las personas naturales o contribuyentes de impuestos finales que reciben en última instancia las utilidades que genera cada empresa</w:t>
      </w:r>
      <w:r w:rsidR="00490AA3">
        <w:rPr>
          <w:lang w:val="es-CL"/>
        </w:rPr>
        <w:t>.</w:t>
      </w:r>
    </w:p>
    <w:p w14:paraId="01622677" w14:textId="5E797FE0" w:rsidR="00854584" w:rsidRDefault="00854584" w:rsidP="00854584">
      <w:pPr>
        <w:pStyle w:val="Prrafodelista"/>
        <w:numPr>
          <w:ilvl w:val="0"/>
          <w:numId w:val="3"/>
        </w:numPr>
        <w:jc w:val="both"/>
        <w:rPr>
          <w:lang w:val="es-CL"/>
        </w:rPr>
      </w:pPr>
      <w:r w:rsidRPr="00854584">
        <w:rPr>
          <w:lang w:val="es-CL"/>
        </w:rPr>
        <w:t>La norma general anti elusiva pasa a tener calificación administrativa</w:t>
      </w:r>
      <w:r w:rsidR="00490AA3">
        <w:rPr>
          <w:lang w:val="es-CL"/>
        </w:rPr>
        <w:t>.</w:t>
      </w:r>
    </w:p>
    <w:p w14:paraId="2D6A5C41" w14:textId="01B651BE" w:rsidR="00854584" w:rsidRPr="00854584" w:rsidRDefault="00854584" w:rsidP="00854584">
      <w:pPr>
        <w:pStyle w:val="Prrafodelista"/>
        <w:numPr>
          <w:ilvl w:val="0"/>
          <w:numId w:val="3"/>
        </w:numPr>
        <w:jc w:val="both"/>
        <w:rPr>
          <w:lang w:val="es-CL"/>
        </w:rPr>
      </w:pPr>
      <w:r>
        <w:rPr>
          <w:lang w:val="es-CL"/>
        </w:rPr>
        <w:t>Se actualiza la norma de precios de transferencia</w:t>
      </w:r>
      <w:r w:rsidR="00490AA3">
        <w:rPr>
          <w:lang w:val="es-CL"/>
        </w:rPr>
        <w:t>.</w:t>
      </w:r>
    </w:p>
    <w:p w14:paraId="6461E5DB" w14:textId="4A6A8438" w:rsidR="007630BF" w:rsidRPr="00854584" w:rsidRDefault="007630BF" w:rsidP="00854584">
      <w:pPr>
        <w:pStyle w:val="Prrafodelista"/>
        <w:numPr>
          <w:ilvl w:val="0"/>
          <w:numId w:val="3"/>
        </w:numPr>
        <w:jc w:val="both"/>
        <w:rPr>
          <w:lang w:val="es-CL"/>
        </w:rPr>
      </w:pPr>
      <w:r w:rsidRPr="00854584">
        <w:rPr>
          <w:b/>
          <w:lang w:val="es-CL"/>
        </w:rPr>
        <w:t>Se modifica la norma de control de rentas pasivas cerrando espacios de elusión</w:t>
      </w:r>
      <w:r w:rsidR="00490AA3">
        <w:rPr>
          <w:b/>
          <w:lang w:val="es-CL"/>
        </w:rPr>
        <w:t>.</w:t>
      </w:r>
    </w:p>
    <w:p w14:paraId="1ABBE966" w14:textId="735F39E6" w:rsidR="00854584" w:rsidRPr="00854584" w:rsidRDefault="00854584" w:rsidP="00854584">
      <w:pPr>
        <w:pStyle w:val="Prrafodelista"/>
        <w:numPr>
          <w:ilvl w:val="0"/>
          <w:numId w:val="3"/>
        </w:numPr>
        <w:jc w:val="both"/>
        <w:rPr>
          <w:lang w:val="es-CL"/>
        </w:rPr>
      </w:pPr>
      <w:r>
        <w:rPr>
          <w:lang w:val="es-CL"/>
        </w:rPr>
        <w:t>Se modifica la norma sobre exceso de endeudamiento (en línea con las recomendaciones internacionales</w:t>
      </w:r>
      <w:r w:rsidR="00490AA3">
        <w:rPr>
          <w:lang w:val="es-CL"/>
        </w:rPr>
        <w:t>.</w:t>
      </w:r>
    </w:p>
    <w:p w14:paraId="35F5C054" w14:textId="273D306E" w:rsidR="007630BF" w:rsidRPr="00854584" w:rsidRDefault="00854584" w:rsidP="00854584">
      <w:pPr>
        <w:pStyle w:val="Prrafodelista"/>
        <w:numPr>
          <w:ilvl w:val="0"/>
          <w:numId w:val="3"/>
        </w:numPr>
        <w:rPr>
          <w:lang w:val="es-CL"/>
        </w:rPr>
      </w:pPr>
      <w:r w:rsidRPr="00854584">
        <w:rPr>
          <w:lang w:val="es-CL"/>
        </w:rPr>
        <w:t>Se modifica la norma sobre regímenes especiales</w:t>
      </w:r>
      <w:r w:rsidR="00490AA3">
        <w:rPr>
          <w:lang w:val="es-CL"/>
        </w:rPr>
        <w:t>.</w:t>
      </w:r>
    </w:p>
    <w:p w14:paraId="2FE01AED" w14:textId="7177B9CF" w:rsidR="00854584" w:rsidRDefault="00854584" w:rsidP="00854584">
      <w:pPr>
        <w:pStyle w:val="Prrafodelista"/>
        <w:numPr>
          <w:ilvl w:val="0"/>
          <w:numId w:val="3"/>
        </w:numPr>
        <w:rPr>
          <w:lang w:val="es-CL"/>
        </w:rPr>
      </w:pPr>
      <w:r w:rsidRPr="00854584">
        <w:rPr>
          <w:lang w:val="es-CL"/>
        </w:rPr>
        <w:t>Se crea la figura del denunciante anónimo tributario</w:t>
      </w:r>
      <w:r w:rsidR="00490AA3">
        <w:rPr>
          <w:lang w:val="es-CL"/>
        </w:rPr>
        <w:t>.</w:t>
      </w:r>
    </w:p>
    <w:p w14:paraId="2D3088C4" w14:textId="02D8057B" w:rsidR="007D7AD3" w:rsidRPr="00CF4C7D" w:rsidRDefault="007D7AD3" w:rsidP="007D7AD3">
      <w:pPr>
        <w:rPr>
          <w:b/>
          <w:sz w:val="24"/>
          <w:lang w:val="es-CL"/>
        </w:rPr>
      </w:pPr>
      <w:r w:rsidRPr="00CF4C7D">
        <w:rPr>
          <w:b/>
          <w:sz w:val="24"/>
          <w:lang w:val="es-CL"/>
        </w:rPr>
        <w:t>11. Impuestos correctivos</w:t>
      </w:r>
      <w:r w:rsidR="00490AA3">
        <w:rPr>
          <w:b/>
          <w:sz w:val="24"/>
          <w:lang w:val="es-CL"/>
        </w:rPr>
        <w:t>.</w:t>
      </w:r>
    </w:p>
    <w:p w14:paraId="39FB93B5" w14:textId="77777777" w:rsidR="007D7AD3" w:rsidRPr="00CF4C7D" w:rsidRDefault="007D7AD3" w:rsidP="007D7AD3">
      <w:pPr>
        <w:jc w:val="both"/>
        <w:rPr>
          <w:lang w:val="es-CL"/>
        </w:rPr>
      </w:pPr>
      <w:r w:rsidRPr="00CF4C7D">
        <w:rPr>
          <w:lang w:val="es-CL"/>
        </w:rPr>
        <w:t xml:space="preserve">Los impuestos correctivos buscan modificar el comportamiento de personas y empresas, alineando los incentivos económicos con los costos y beneficios sociales de determinadas actividades. </w:t>
      </w:r>
    </w:p>
    <w:p w14:paraId="035E4BB1" w14:textId="77777777" w:rsidR="007D7AD3" w:rsidRPr="00CF4C7D" w:rsidRDefault="007D7AD3" w:rsidP="007D7AD3">
      <w:pPr>
        <w:jc w:val="both"/>
        <w:rPr>
          <w:lang w:val="es-CL"/>
        </w:rPr>
      </w:pPr>
      <w:r w:rsidRPr="00CF4C7D">
        <w:rPr>
          <w:lang w:val="es-CL"/>
        </w:rPr>
        <w:t xml:space="preserve">Sus ámbitos incluyen la preservación del medio ambiente, la reducción de emisiones, el desarrollo de una vida sana y un desarrollo territorial equilibrado, incluyendo impuestos positivos y negativos para promover conductas responsables. Es particularmente importante que estos instrumentos se implementen de manera gradual y aparejado de una transición justa que permita que personas y empresas puedan adaptarse a los cambios. </w:t>
      </w:r>
    </w:p>
    <w:p w14:paraId="538A7CF9" w14:textId="3456DFE7" w:rsidR="007D7AD3" w:rsidRDefault="007D7AD3" w:rsidP="007D7AD3">
      <w:pPr>
        <w:jc w:val="both"/>
        <w:rPr>
          <w:b/>
          <w:lang w:val="es-CL"/>
        </w:rPr>
      </w:pPr>
      <w:r w:rsidRPr="00CF4C7D">
        <w:rPr>
          <w:lang w:val="es-CL"/>
        </w:rPr>
        <w:t xml:space="preserve">Estos instrumentos </w:t>
      </w:r>
      <w:r w:rsidRPr="00CF4C7D">
        <w:rPr>
          <w:b/>
          <w:lang w:val="es-CL"/>
        </w:rPr>
        <w:t>se encuentran en fase de diseño</w:t>
      </w:r>
      <w:r w:rsidRPr="00CF4C7D">
        <w:rPr>
          <w:lang w:val="es-CL"/>
        </w:rPr>
        <w:t xml:space="preserve"> </w:t>
      </w:r>
      <w:r w:rsidRPr="00CF4C7D">
        <w:rPr>
          <w:b/>
          <w:lang w:val="es-CL"/>
        </w:rPr>
        <w:t>y se tramitarán en un proyecto de ley separado durante el cuarto trimestre.</w:t>
      </w:r>
    </w:p>
    <w:sectPr w:rsidR="007D7AD3" w:rsidSect="0019754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2F092" w14:textId="77777777" w:rsidR="00EB2BE8" w:rsidRDefault="00EB2BE8" w:rsidP="00A65456">
      <w:pPr>
        <w:spacing w:after="0" w:line="240" w:lineRule="auto"/>
      </w:pPr>
      <w:r>
        <w:separator/>
      </w:r>
    </w:p>
  </w:endnote>
  <w:endnote w:type="continuationSeparator" w:id="0">
    <w:p w14:paraId="49DBD306" w14:textId="77777777" w:rsidR="00EB2BE8" w:rsidRDefault="00EB2BE8" w:rsidP="00A6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C10A9" w14:textId="77777777" w:rsidR="00EB2BE8" w:rsidRDefault="00EB2BE8" w:rsidP="00A65456">
      <w:pPr>
        <w:spacing w:after="0" w:line="240" w:lineRule="auto"/>
      </w:pPr>
      <w:r>
        <w:separator/>
      </w:r>
    </w:p>
  </w:footnote>
  <w:footnote w:type="continuationSeparator" w:id="0">
    <w:p w14:paraId="2BCCCB18" w14:textId="77777777" w:rsidR="00EB2BE8" w:rsidRDefault="00EB2BE8" w:rsidP="00A65456">
      <w:pPr>
        <w:spacing w:after="0" w:line="240" w:lineRule="auto"/>
      </w:pPr>
      <w:r>
        <w:continuationSeparator/>
      </w:r>
    </w:p>
  </w:footnote>
  <w:footnote w:id="1">
    <w:p w14:paraId="50A4C2BC" w14:textId="51BED4BE" w:rsidR="00A65456" w:rsidRPr="00A65456" w:rsidRDefault="00A65456">
      <w:pPr>
        <w:pStyle w:val="Textonotapie"/>
        <w:rPr>
          <w:lang w:val="es-CL"/>
        </w:rPr>
      </w:pPr>
      <w:r>
        <w:rPr>
          <w:rStyle w:val="Refdenotaalpie"/>
        </w:rPr>
        <w:footnoteRef/>
      </w:r>
      <w:r w:rsidRPr="00A65456">
        <w:rPr>
          <w:sz w:val="18"/>
          <w:lang w:val="es-CL"/>
        </w:rPr>
        <w:t xml:space="preserve">Considera un tipo de cambio de $864 y </w:t>
      </w:r>
      <w:r w:rsidR="00CD0273">
        <w:rPr>
          <w:sz w:val="18"/>
          <w:lang w:val="es-CL"/>
        </w:rPr>
        <w:t xml:space="preserve">1 </w:t>
      </w:r>
      <w:r w:rsidRPr="00A65456">
        <w:rPr>
          <w:sz w:val="18"/>
          <w:lang w:val="es-CL"/>
        </w:rPr>
        <w:t>UTM de $60.000</w:t>
      </w:r>
    </w:p>
  </w:footnote>
  <w:footnote w:id="2">
    <w:p w14:paraId="5BCF9125" w14:textId="77777777" w:rsidR="00854584" w:rsidRPr="000F27E6" w:rsidRDefault="00854584" w:rsidP="00854584">
      <w:pPr>
        <w:pStyle w:val="Textonotapie"/>
        <w:rPr>
          <w:lang w:val="es-CL"/>
        </w:rPr>
      </w:pPr>
      <w:r>
        <w:rPr>
          <w:rStyle w:val="Refdenotaalpie"/>
        </w:rPr>
        <w:footnoteRef/>
      </w:r>
      <w:r w:rsidRPr="000F27E6">
        <w:rPr>
          <w:sz w:val="16"/>
        </w:rPr>
        <w:t>https://www.c</w:t>
      </w:r>
      <w:r w:rsidR="00C41667">
        <w:rPr>
          <w:sz w:val="16"/>
        </w:rPr>
        <w:t>mfchile.cl/educa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F1D02" w14:textId="7830B4F3" w:rsidR="00E512EC" w:rsidRPr="00E512EC" w:rsidRDefault="00CD0273">
    <w:pPr>
      <w:pStyle w:val="Encabezado"/>
      <w:rPr>
        <w:b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7F9ABB4B" wp14:editId="7C68C80B">
          <wp:simplePos x="0" y="0"/>
          <wp:positionH relativeFrom="margin">
            <wp:posOffset>-489585</wp:posOffset>
          </wp:positionH>
          <wp:positionV relativeFrom="paragraph">
            <wp:posOffset>-274320</wp:posOffset>
          </wp:positionV>
          <wp:extent cx="1304925" cy="591237"/>
          <wp:effectExtent l="0" t="0" r="0" b="0"/>
          <wp:wrapNone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5912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12EC" w:rsidRPr="00E512EC">
      <w:rPr>
        <w:b/>
      </w:rPr>
      <w:tab/>
    </w:r>
    <w:r w:rsidR="00E512EC" w:rsidRPr="00E512EC">
      <w:rPr>
        <w:b/>
      </w:rPr>
      <w:tab/>
      <w:t>Reforma Tributaria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96C90"/>
    <w:multiLevelType w:val="hybridMultilevel"/>
    <w:tmpl w:val="231C5C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939E3"/>
    <w:multiLevelType w:val="hybridMultilevel"/>
    <w:tmpl w:val="184C6F6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B95"/>
    <w:multiLevelType w:val="hybridMultilevel"/>
    <w:tmpl w:val="387683AA"/>
    <w:lvl w:ilvl="0" w:tplc="B11ADE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37D19"/>
    <w:multiLevelType w:val="hybridMultilevel"/>
    <w:tmpl w:val="E16A35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F58D8"/>
    <w:multiLevelType w:val="hybridMultilevel"/>
    <w:tmpl w:val="1BB8ACD8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3A"/>
    <w:rsid w:val="000B1D56"/>
    <w:rsid w:val="000F27E6"/>
    <w:rsid w:val="0010457E"/>
    <w:rsid w:val="001140CC"/>
    <w:rsid w:val="0019558B"/>
    <w:rsid w:val="0019754E"/>
    <w:rsid w:val="001D1151"/>
    <w:rsid w:val="0020797E"/>
    <w:rsid w:val="002E2EE2"/>
    <w:rsid w:val="00387599"/>
    <w:rsid w:val="0042678B"/>
    <w:rsid w:val="00433CD4"/>
    <w:rsid w:val="00490AA3"/>
    <w:rsid w:val="004F6B2F"/>
    <w:rsid w:val="00540105"/>
    <w:rsid w:val="00555CC7"/>
    <w:rsid w:val="00567061"/>
    <w:rsid w:val="00571F59"/>
    <w:rsid w:val="005927FE"/>
    <w:rsid w:val="005A278E"/>
    <w:rsid w:val="00624B34"/>
    <w:rsid w:val="0065360F"/>
    <w:rsid w:val="0067170B"/>
    <w:rsid w:val="006A2FF4"/>
    <w:rsid w:val="006A7DC5"/>
    <w:rsid w:val="006B2966"/>
    <w:rsid w:val="006F00BE"/>
    <w:rsid w:val="006F763A"/>
    <w:rsid w:val="00722D20"/>
    <w:rsid w:val="00730F6D"/>
    <w:rsid w:val="007630BF"/>
    <w:rsid w:val="007B2F58"/>
    <w:rsid w:val="007D3361"/>
    <w:rsid w:val="007D7AD3"/>
    <w:rsid w:val="00854584"/>
    <w:rsid w:val="008E14D8"/>
    <w:rsid w:val="008E41E2"/>
    <w:rsid w:val="00947050"/>
    <w:rsid w:val="009801CC"/>
    <w:rsid w:val="00992952"/>
    <w:rsid w:val="00995000"/>
    <w:rsid w:val="00A65456"/>
    <w:rsid w:val="00AC7FC9"/>
    <w:rsid w:val="00B3763E"/>
    <w:rsid w:val="00B80C84"/>
    <w:rsid w:val="00BC7A3A"/>
    <w:rsid w:val="00C06C79"/>
    <w:rsid w:val="00C41667"/>
    <w:rsid w:val="00C55F5D"/>
    <w:rsid w:val="00CB3798"/>
    <w:rsid w:val="00CD0273"/>
    <w:rsid w:val="00CF4C7D"/>
    <w:rsid w:val="00D35AC0"/>
    <w:rsid w:val="00DB7700"/>
    <w:rsid w:val="00DD6C50"/>
    <w:rsid w:val="00E512EC"/>
    <w:rsid w:val="00E7015F"/>
    <w:rsid w:val="00E7621C"/>
    <w:rsid w:val="00EB2BE8"/>
    <w:rsid w:val="00ED30FD"/>
    <w:rsid w:val="00EF65DA"/>
    <w:rsid w:val="00F87648"/>
    <w:rsid w:val="00FB601A"/>
    <w:rsid w:val="00FE0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DA324F"/>
  <w15:docId w15:val="{A3E5C82A-E3EB-4A76-ABC9-9529AA24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5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6545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545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65456"/>
    <w:rPr>
      <w:vertAlign w:val="superscript"/>
    </w:rPr>
  </w:style>
  <w:style w:type="paragraph" w:styleId="Prrafodelista">
    <w:name w:val="List Paragraph"/>
    <w:basedOn w:val="Normal"/>
    <w:uiPriority w:val="34"/>
    <w:qFormat/>
    <w:rsid w:val="007D33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55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558B"/>
  </w:style>
  <w:style w:type="paragraph" w:styleId="Piedepgina">
    <w:name w:val="footer"/>
    <w:basedOn w:val="Normal"/>
    <w:link w:val="PiedepginaCar"/>
    <w:uiPriority w:val="99"/>
    <w:unhideWhenUsed/>
    <w:rsid w:val="001955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58B"/>
  </w:style>
  <w:style w:type="table" w:styleId="Tablaconcuadrcula">
    <w:name w:val="Table Grid"/>
    <w:basedOn w:val="Tablanormal"/>
    <w:uiPriority w:val="59"/>
    <w:rsid w:val="00FE0F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C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7A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E4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98260-949A-334C-B581-6C067FA5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A.Escudero Toledo</dc:creator>
  <cp:lastModifiedBy>Microsoft Office User</cp:lastModifiedBy>
  <cp:revision>3</cp:revision>
  <cp:lastPrinted>2022-07-04T20:49:00Z</cp:lastPrinted>
  <dcterms:created xsi:type="dcterms:W3CDTF">2022-07-08T15:59:00Z</dcterms:created>
  <dcterms:modified xsi:type="dcterms:W3CDTF">2022-07-11T18:47:00Z</dcterms:modified>
</cp:coreProperties>
</file>