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3763B" w14:textId="77777777" w:rsidR="00297252" w:rsidRPr="00C116A0" w:rsidRDefault="00297252" w:rsidP="00915830">
      <w:pPr>
        <w:pBdr>
          <w:bottom w:val="single" w:sz="12" w:space="1" w:color="auto"/>
        </w:pBdr>
        <w:tabs>
          <w:tab w:val="left" w:pos="3360"/>
        </w:tabs>
        <w:spacing w:after="0" w:line="276" w:lineRule="auto"/>
        <w:jc w:val="both"/>
        <w:rPr>
          <w:rFonts w:ascii="Times New Roman" w:hAnsi="Times New Roman" w:cs="Times New Roman"/>
          <w:b/>
          <w:bCs/>
          <w:sz w:val="24"/>
          <w:szCs w:val="24"/>
        </w:rPr>
      </w:pPr>
    </w:p>
    <w:p w14:paraId="26EB6D08" w14:textId="77777777" w:rsidR="00297252" w:rsidRPr="00C116A0" w:rsidRDefault="00297252" w:rsidP="00915830">
      <w:pPr>
        <w:tabs>
          <w:tab w:val="left" w:pos="3360"/>
        </w:tabs>
        <w:spacing w:after="0" w:line="276" w:lineRule="auto"/>
        <w:jc w:val="center"/>
        <w:rPr>
          <w:rFonts w:ascii="Times New Roman" w:hAnsi="Times New Roman" w:cs="Times New Roman"/>
          <w:b/>
          <w:bCs/>
          <w:sz w:val="24"/>
          <w:szCs w:val="24"/>
        </w:rPr>
      </w:pPr>
    </w:p>
    <w:p w14:paraId="1C2C8B4E" w14:textId="3586CD09" w:rsidR="00297252" w:rsidRDefault="00297252" w:rsidP="00915830">
      <w:pPr>
        <w:pBdr>
          <w:bottom w:val="single" w:sz="12" w:space="1" w:color="auto"/>
        </w:pBdr>
        <w:spacing w:after="0" w:line="276" w:lineRule="auto"/>
        <w:jc w:val="center"/>
        <w:rPr>
          <w:rFonts w:ascii="Times New Roman" w:hAnsi="Times New Roman" w:cs="Times New Roman"/>
          <w:b/>
          <w:bCs/>
          <w:sz w:val="24"/>
          <w:szCs w:val="24"/>
        </w:rPr>
      </w:pPr>
      <w:r w:rsidRPr="00C116A0">
        <w:rPr>
          <w:rFonts w:ascii="Times New Roman" w:hAnsi="Times New Roman" w:cs="Times New Roman"/>
          <w:b/>
          <w:bCs/>
          <w:sz w:val="24"/>
          <w:szCs w:val="24"/>
        </w:rPr>
        <w:t>PROYECTO DE REFORMA TRIBUTARIA</w:t>
      </w:r>
    </w:p>
    <w:p w14:paraId="0F74994E" w14:textId="072A004F" w:rsidR="0037277F" w:rsidRDefault="0037277F" w:rsidP="00915830">
      <w:pPr>
        <w:pBdr>
          <w:bottom w:val="single" w:sz="12" w:space="1" w:color="auto"/>
        </w:pBdr>
        <w:spacing w:after="0" w:line="276" w:lineRule="auto"/>
        <w:jc w:val="center"/>
        <w:rPr>
          <w:rFonts w:ascii="Times New Roman" w:hAnsi="Times New Roman" w:cs="Times New Roman"/>
          <w:b/>
          <w:bCs/>
          <w:sz w:val="24"/>
          <w:szCs w:val="24"/>
        </w:rPr>
      </w:pPr>
    </w:p>
    <w:p w14:paraId="715A884D" w14:textId="148CB449" w:rsidR="0037277F" w:rsidRPr="00C116A0" w:rsidRDefault="0037277F" w:rsidP="00915830">
      <w:pPr>
        <w:pBdr>
          <w:bottom w:val="single" w:sz="12" w:space="1" w:color="auto"/>
        </w:pBdr>
        <w:spacing w:after="0" w:line="276" w:lineRule="auto"/>
        <w:jc w:val="center"/>
        <w:rPr>
          <w:rFonts w:ascii="Times New Roman" w:hAnsi="Times New Roman" w:cs="Times New Roman"/>
          <w:b/>
          <w:bCs/>
          <w:sz w:val="24"/>
          <w:szCs w:val="24"/>
        </w:rPr>
      </w:pPr>
      <w:r w:rsidRPr="00C116A0">
        <w:rPr>
          <w:rFonts w:ascii="Times New Roman" w:hAnsi="Times New Roman" w:cs="Times New Roman"/>
          <w:b/>
          <w:bCs/>
          <w:sz w:val="24"/>
          <w:szCs w:val="24"/>
        </w:rPr>
        <w:t>IMPUESTO AL PATRIMONIO</w:t>
      </w:r>
    </w:p>
    <w:p w14:paraId="73E8F936" w14:textId="77777777" w:rsidR="00297252" w:rsidRPr="00DF1BD7" w:rsidRDefault="00297252" w:rsidP="00915830">
      <w:pPr>
        <w:pBdr>
          <w:bottom w:val="single" w:sz="12" w:space="1" w:color="auto"/>
        </w:pBdr>
        <w:spacing w:after="0" w:line="276" w:lineRule="auto"/>
        <w:jc w:val="both"/>
        <w:rPr>
          <w:rFonts w:ascii="Times New Roman" w:hAnsi="Times New Roman" w:cs="Times New Roman"/>
          <w:sz w:val="24"/>
          <w:szCs w:val="24"/>
        </w:rPr>
      </w:pPr>
    </w:p>
    <w:p w14:paraId="2ACA07E3" w14:textId="77777777" w:rsidR="006D3C49" w:rsidRDefault="006D3C49" w:rsidP="00915830">
      <w:pPr>
        <w:spacing w:after="0" w:line="276" w:lineRule="auto"/>
        <w:jc w:val="both"/>
        <w:rPr>
          <w:rFonts w:ascii="Times New Roman" w:hAnsi="Times New Roman" w:cs="Times New Roman"/>
          <w:sz w:val="24"/>
          <w:szCs w:val="24"/>
        </w:rPr>
      </w:pPr>
    </w:p>
    <w:p w14:paraId="3D8DE3C6" w14:textId="77777777" w:rsidR="0037277F" w:rsidRPr="0037277F" w:rsidRDefault="0037277F" w:rsidP="0037277F">
      <w:pPr>
        <w:pStyle w:val="Prrafodelista"/>
        <w:numPr>
          <w:ilvl w:val="0"/>
          <w:numId w:val="4"/>
        </w:numPr>
        <w:spacing w:after="0" w:line="276" w:lineRule="auto"/>
        <w:ind w:right="-283"/>
        <w:jc w:val="both"/>
        <w:rPr>
          <w:rFonts w:ascii="Times New Roman" w:hAnsi="Times New Roman" w:cs="Times New Roman"/>
          <w:b/>
          <w:bCs/>
          <w:sz w:val="24"/>
          <w:szCs w:val="24"/>
        </w:rPr>
      </w:pPr>
      <w:r w:rsidRPr="0037277F">
        <w:rPr>
          <w:rFonts w:ascii="Times New Roman" w:hAnsi="Times New Roman" w:cs="Times New Roman"/>
          <w:b/>
          <w:bCs/>
          <w:sz w:val="24"/>
          <w:szCs w:val="24"/>
        </w:rPr>
        <w:t>Introducción.</w:t>
      </w:r>
    </w:p>
    <w:p w14:paraId="1D905C2F" w14:textId="77777777" w:rsidR="0037277F" w:rsidRDefault="0037277F" w:rsidP="0037277F">
      <w:pPr>
        <w:spacing w:after="0" w:line="276" w:lineRule="auto"/>
        <w:ind w:left="-283" w:right="-283"/>
        <w:jc w:val="both"/>
        <w:rPr>
          <w:rFonts w:ascii="Times New Roman" w:hAnsi="Times New Roman" w:cs="Times New Roman"/>
          <w:sz w:val="24"/>
          <w:szCs w:val="24"/>
        </w:rPr>
      </w:pPr>
    </w:p>
    <w:p w14:paraId="0EB26AD6" w14:textId="5F626CB0" w:rsidR="00915830" w:rsidRPr="0037277F" w:rsidRDefault="00297252" w:rsidP="00F264AB">
      <w:pPr>
        <w:spacing w:after="0" w:line="276" w:lineRule="auto"/>
        <w:ind w:right="-283"/>
        <w:jc w:val="both"/>
        <w:rPr>
          <w:rFonts w:ascii="Times New Roman" w:hAnsi="Times New Roman" w:cs="Times New Roman"/>
          <w:sz w:val="24"/>
          <w:szCs w:val="24"/>
        </w:rPr>
      </w:pPr>
      <w:r w:rsidRPr="0037277F">
        <w:rPr>
          <w:rFonts w:ascii="Times New Roman" w:hAnsi="Times New Roman" w:cs="Times New Roman"/>
          <w:sz w:val="24"/>
          <w:szCs w:val="24"/>
        </w:rPr>
        <w:t xml:space="preserve">Con ocasión de la presentación del Proyecto de Reforma Tributaria el 7 de julio de 2022, </w:t>
      </w:r>
      <w:r w:rsidR="00E02CC1" w:rsidRPr="0037277F">
        <w:rPr>
          <w:rFonts w:ascii="Times New Roman" w:hAnsi="Times New Roman" w:cs="Times New Roman"/>
          <w:sz w:val="24"/>
          <w:szCs w:val="24"/>
        </w:rPr>
        <w:t xml:space="preserve">y las indicaciones efectuadas por el Ministerio de Hacienda ingresadas el pasado 4 de octubre, </w:t>
      </w:r>
      <w:r w:rsidRPr="0037277F">
        <w:rPr>
          <w:rFonts w:ascii="Times New Roman" w:hAnsi="Times New Roman" w:cs="Times New Roman"/>
          <w:sz w:val="24"/>
          <w:szCs w:val="24"/>
        </w:rPr>
        <w:t>se propone la creación de un impuesto a la riqueza</w:t>
      </w:r>
      <w:r w:rsidR="0037277F" w:rsidRPr="0037277F">
        <w:rPr>
          <w:rFonts w:ascii="Times New Roman" w:hAnsi="Times New Roman" w:cs="Times New Roman"/>
          <w:sz w:val="24"/>
          <w:szCs w:val="24"/>
        </w:rPr>
        <w:t>,</w:t>
      </w:r>
      <w:r w:rsidRPr="0037277F">
        <w:rPr>
          <w:rFonts w:ascii="Times New Roman" w:hAnsi="Times New Roman" w:cs="Times New Roman"/>
          <w:sz w:val="24"/>
          <w:szCs w:val="24"/>
        </w:rPr>
        <w:t xml:space="preserve"> al cual quedar</w:t>
      </w:r>
      <w:r w:rsidR="00DA7899" w:rsidRPr="0037277F">
        <w:rPr>
          <w:rFonts w:ascii="Times New Roman" w:hAnsi="Times New Roman" w:cs="Times New Roman"/>
          <w:sz w:val="24"/>
          <w:szCs w:val="24"/>
        </w:rPr>
        <w:t>ían</w:t>
      </w:r>
      <w:r w:rsidRPr="0037277F">
        <w:rPr>
          <w:rFonts w:ascii="Times New Roman" w:hAnsi="Times New Roman" w:cs="Times New Roman"/>
          <w:sz w:val="24"/>
          <w:szCs w:val="24"/>
        </w:rPr>
        <w:t xml:space="preserve"> sujetas las personas naturales con domicilio o residencia en Chile, por </w:t>
      </w:r>
      <w:r w:rsidR="00E810A8" w:rsidRPr="0037277F">
        <w:rPr>
          <w:rFonts w:ascii="Times New Roman" w:hAnsi="Times New Roman" w:cs="Times New Roman"/>
          <w:sz w:val="24"/>
          <w:szCs w:val="24"/>
        </w:rPr>
        <w:t xml:space="preserve">todo </w:t>
      </w:r>
      <w:r w:rsidRPr="0037277F">
        <w:rPr>
          <w:rFonts w:ascii="Times New Roman" w:hAnsi="Times New Roman" w:cs="Times New Roman"/>
          <w:sz w:val="24"/>
          <w:szCs w:val="24"/>
        </w:rPr>
        <w:t xml:space="preserve">su patrimonio, tanto en Chile como en el extranjero, en la parte que exceda de </w:t>
      </w:r>
      <w:r w:rsidR="00940D58" w:rsidRPr="0037277F">
        <w:rPr>
          <w:rFonts w:ascii="Times New Roman" w:hAnsi="Times New Roman" w:cs="Times New Roman"/>
          <w:sz w:val="24"/>
          <w:szCs w:val="24"/>
        </w:rPr>
        <w:t>6.000 UTA (ap</w:t>
      </w:r>
      <w:r w:rsidR="00F07D2F" w:rsidRPr="0037277F">
        <w:rPr>
          <w:rFonts w:ascii="Times New Roman" w:hAnsi="Times New Roman" w:cs="Times New Roman"/>
          <w:sz w:val="24"/>
          <w:szCs w:val="24"/>
        </w:rPr>
        <w:t>roximadamente</w:t>
      </w:r>
      <w:r w:rsidR="00940D58" w:rsidRPr="0037277F">
        <w:rPr>
          <w:rFonts w:ascii="Times New Roman" w:hAnsi="Times New Roman" w:cs="Times New Roman"/>
          <w:sz w:val="24"/>
          <w:szCs w:val="24"/>
        </w:rPr>
        <w:t xml:space="preserve"> </w:t>
      </w:r>
      <w:r w:rsidRPr="0037277F">
        <w:rPr>
          <w:rFonts w:ascii="Times New Roman" w:hAnsi="Times New Roman" w:cs="Times New Roman"/>
          <w:sz w:val="24"/>
          <w:szCs w:val="24"/>
        </w:rPr>
        <w:t>5 millones de dólares</w:t>
      </w:r>
      <w:r w:rsidR="00940D58" w:rsidRPr="0037277F">
        <w:rPr>
          <w:rFonts w:ascii="Times New Roman" w:hAnsi="Times New Roman" w:cs="Times New Roman"/>
          <w:sz w:val="24"/>
          <w:szCs w:val="24"/>
        </w:rPr>
        <w:t>)</w:t>
      </w:r>
      <w:r w:rsidRPr="0037277F">
        <w:rPr>
          <w:rFonts w:ascii="Times New Roman" w:hAnsi="Times New Roman" w:cs="Times New Roman"/>
          <w:sz w:val="24"/>
          <w:szCs w:val="24"/>
        </w:rPr>
        <w:t xml:space="preserve">. </w:t>
      </w:r>
    </w:p>
    <w:p w14:paraId="76C30E76" w14:textId="77777777" w:rsidR="00915830" w:rsidRDefault="00915830" w:rsidP="00F264AB">
      <w:pPr>
        <w:spacing w:after="0" w:line="276" w:lineRule="auto"/>
        <w:ind w:right="-283"/>
        <w:jc w:val="both"/>
        <w:rPr>
          <w:rFonts w:ascii="Times New Roman" w:hAnsi="Times New Roman" w:cs="Times New Roman"/>
          <w:sz w:val="24"/>
          <w:szCs w:val="24"/>
        </w:rPr>
      </w:pPr>
    </w:p>
    <w:p w14:paraId="3B7FC9FB" w14:textId="55FA2894" w:rsidR="003D591D" w:rsidRDefault="009F6646" w:rsidP="00F264AB">
      <w:pPr>
        <w:spacing w:after="0" w:line="276" w:lineRule="auto"/>
        <w:ind w:right="-283"/>
        <w:jc w:val="both"/>
        <w:rPr>
          <w:rFonts w:ascii="Times New Roman" w:hAnsi="Times New Roman" w:cs="Times New Roman"/>
          <w:sz w:val="24"/>
          <w:szCs w:val="24"/>
        </w:rPr>
      </w:pPr>
      <w:r>
        <w:rPr>
          <w:rFonts w:ascii="Times New Roman" w:hAnsi="Times New Roman" w:cs="Times New Roman"/>
          <w:sz w:val="24"/>
          <w:szCs w:val="24"/>
        </w:rPr>
        <w:t>Asimismo,</w:t>
      </w:r>
      <w:r w:rsidR="0037277F">
        <w:rPr>
          <w:rFonts w:ascii="Times New Roman" w:hAnsi="Times New Roman" w:cs="Times New Roman"/>
          <w:sz w:val="24"/>
          <w:szCs w:val="24"/>
        </w:rPr>
        <w:t xml:space="preserve"> según el Proyecto de Ley</w:t>
      </w:r>
      <w:r>
        <w:rPr>
          <w:rFonts w:ascii="Times New Roman" w:hAnsi="Times New Roman" w:cs="Times New Roman"/>
          <w:sz w:val="24"/>
          <w:szCs w:val="24"/>
        </w:rPr>
        <w:t xml:space="preserve"> quedarán sujetos a este impuesto las personas naturales extranjeras </w:t>
      </w:r>
      <w:r w:rsidR="00915830">
        <w:rPr>
          <w:rFonts w:ascii="Times New Roman" w:hAnsi="Times New Roman" w:cs="Times New Roman"/>
          <w:sz w:val="24"/>
          <w:szCs w:val="24"/>
        </w:rPr>
        <w:t xml:space="preserve">con residencia en Chile, </w:t>
      </w:r>
      <w:r>
        <w:rPr>
          <w:rFonts w:ascii="Times New Roman" w:hAnsi="Times New Roman" w:cs="Times New Roman"/>
          <w:sz w:val="24"/>
          <w:szCs w:val="24"/>
        </w:rPr>
        <w:t xml:space="preserve">por la parte de su patrimonio que </w:t>
      </w:r>
      <w:r w:rsidR="0037277F">
        <w:rPr>
          <w:rFonts w:ascii="Times New Roman" w:hAnsi="Times New Roman" w:cs="Times New Roman"/>
          <w:sz w:val="24"/>
          <w:szCs w:val="24"/>
        </w:rPr>
        <w:t>se h</w:t>
      </w:r>
      <w:r>
        <w:rPr>
          <w:rFonts w:ascii="Times New Roman" w:hAnsi="Times New Roman" w:cs="Times New Roman"/>
          <w:sz w:val="24"/>
          <w:szCs w:val="24"/>
        </w:rPr>
        <w:t xml:space="preserve">ubiese generado con rentas o ingresos de fuente chilena, por un plazo de 3 años, y transcurrido dicho período, resultan afectos al impuesto por todo su patrimonio. </w:t>
      </w:r>
    </w:p>
    <w:p w14:paraId="7E11D781" w14:textId="77777777" w:rsidR="003D591D" w:rsidRDefault="003D591D" w:rsidP="00915830">
      <w:pPr>
        <w:spacing w:after="0" w:line="276" w:lineRule="auto"/>
        <w:ind w:left="-283" w:right="-283"/>
        <w:jc w:val="both"/>
        <w:rPr>
          <w:rFonts w:ascii="Times New Roman" w:hAnsi="Times New Roman" w:cs="Times New Roman"/>
          <w:sz w:val="24"/>
          <w:szCs w:val="24"/>
        </w:rPr>
      </w:pPr>
    </w:p>
    <w:p w14:paraId="34165EF5" w14:textId="581A0F8B" w:rsidR="003D591D" w:rsidRPr="0037277F" w:rsidRDefault="00297252" w:rsidP="0037277F">
      <w:pPr>
        <w:pStyle w:val="Prrafodelista"/>
        <w:numPr>
          <w:ilvl w:val="0"/>
          <w:numId w:val="4"/>
        </w:numPr>
        <w:spacing w:after="0" w:line="276" w:lineRule="auto"/>
        <w:ind w:right="-283"/>
        <w:jc w:val="both"/>
        <w:rPr>
          <w:rFonts w:ascii="Times New Roman" w:hAnsi="Times New Roman" w:cs="Times New Roman"/>
          <w:b/>
          <w:bCs/>
          <w:sz w:val="24"/>
          <w:szCs w:val="24"/>
        </w:rPr>
      </w:pPr>
      <w:r w:rsidRPr="0037277F">
        <w:rPr>
          <w:rFonts w:ascii="Times New Roman" w:hAnsi="Times New Roman" w:cs="Times New Roman"/>
          <w:b/>
          <w:bCs/>
          <w:sz w:val="24"/>
          <w:szCs w:val="24"/>
        </w:rPr>
        <w:t>Impuesto al Patrimonio</w:t>
      </w:r>
      <w:r w:rsidR="0037277F" w:rsidRPr="0037277F">
        <w:rPr>
          <w:rFonts w:ascii="Times New Roman" w:hAnsi="Times New Roman" w:cs="Times New Roman"/>
          <w:b/>
          <w:bCs/>
          <w:sz w:val="24"/>
          <w:szCs w:val="24"/>
        </w:rPr>
        <w:t xml:space="preserve"> en el Proyecto de Ley</w:t>
      </w:r>
      <w:r w:rsidRPr="0037277F">
        <w:rPr>
          <w:rFonts w:ascii="Times New Roman" w:hAnsi="Times New Roman" w:cs="Times New Roman"/>
          <w:b/>
          <w:bCs/>
          <w:sz w:val="24"/>
          <w:szCs w:val="24"/>
        </w:rPr>
        <w:t>.</w:t>
      </w:r>
    </w:p>
    <w:p w14:paraId="5FF7CB7F" w14:textId="77777777" w:rsidR="003D591D" w:rsidRDefault="003D591D" w:rsidP="00915830">
      <w:pPr>
        <w:spacing w:after="0" w:line="276" w:lineRule="auto"/>
        <w:ind w:left="567"/>
        <w:jc w:val="both"/>
        <w:rPr>
          <w:rFonts w:ascii="Times New Roman" w:hAnsi="Times New Roman" w:cs="Times New Roman"/>
          <w:b/>
          <w:bCs/>
          <w:sz w:val="24"/>
          <w:szCs w:val="24"/>
        </w:rPr>
      </w:pPr>
    </w:p>
    <w:p w14:paraId="2A067A58" w14:textId="323BCEED" w:rsidR="00297252" w:rsidRPr="00F264AB" w:rsidRDefault="00940D58" w:rsidP="00F264AB">
      <w:pPr>
        <w:spacing w:after="0" w:line="276" w:lineRule="auto"/>
        <w:ind w:right="-283"/>
        <w:jc w:val="both"/>
        <w:rPr>
          <w:rFonts w:ascii="Times New Roman" w:hAnsi="Times New Roman" w:cs="Times New Roman"/>
          <w:sz w:val="24"/>
          <w:szCs w:val="24"/>
        </w:rPr>
      </w:pPr>
      <w:r w:rsidRPr="00C116A0">
        <w:rPr>
          <w:rFonts w:ascii="Times New Roman" w:hAnsi="Times New Roman" w:cs="Times New Roman"/>
          <w:sz w:val="24"/>
          <w:szCs w:val="24"/>
        </w:rPr>
        <w:t>E</w:t>
      </w:r>
      <w:r w:rsidR="00297252" w:rsidRPr="00C116A0">
        <w:rPr>
          <w:rFonts w:ascii="Times New Roman" w:hAnsi="Times New Roman" w:cs="Times New Roman"/>
          <w:sz w:val="24"/>
          <w:szCs w:val="24"/>
        </w:rPr>
        <w:t>l artículo 1°</w:t>
      </w:r>
      <w:r w:rsidRPr="00C116A0">
        <w:rPr>
          <w:rFonts w:ascii="Times New Roman" w:hAnsi="Times New Roman" w:cs="Times New Roman"/>
          <w:sz w:val="24"/>
          <w:szCs w:val="24"/>
        </w:rPr>
        <w:t xml:space="preserve"> del proyecto </w:t>
      </w:r>
      <w:r w:rsidR="0037277F">
        <w:rPr>
          <w:rFonts w:ascii="Times New Roman" w:hAnsi="Times New Roman" w:cs="Times New Roman"/>
          <w:sz w:val="24"/>
          <w:szCs w:val="24"/>
        </w:rPr>
        <w:t xml:space="preserve">de ley </w:t>
      </w:r>
      <w:r w:rsidR="00FD1113" w:rsidRPr="00C116A0">
        <w:rPr>
          <w:rFonts w:ascii="Times New Roman" w:hAnsi="Times New Roman" w:cs="Times New Roman"/>
          <w:sz w:val="24"/>
          <w:szCs w:val="24"/>
        </w:rPr>
        <w:t>establece</w:t>
      </w:r>
      <w:r w:rsidR="0037277F">
        <w:rPr>
          <w:rFonts w:ascii="Times New Roman" w:hAnsi="Times New Roman" w:cs="Times New Roman"/>
          <w:sz w:val="24"/>
          <w:szCs w:val="24"/>
        </w:rPr>
        <w:t xml:space="preserve"> </w:t>
      </w:r>
      <w:r w:rsidR="00297252" w:rsidRPr="00C116A0">
        <w:rPr>
          <w:rFonts w:ascii="Times New Roman" w:hAnsi="Times New Roman" w:cs="Times New Roman"/>
          <w:sz w:val="24"/>
          <w:szCs w:val="24"/>
        </w:rPr>
        <w:t>un impuesto</w:t>
      </w:r>
      <w:r w:rsidR="0037277F">
        <w:rPr>
          <w:rFonts w:ascii="Times New Roman" w:hAnsi="Times New Roman" w:cs="Times New Roman"/>
          <w:sz w:val="24"/>
          <w:szCs w:val="24"/>
        </w:rPr>
        <w:t>,</w:t>
      </w:r>
      <w:r w:rsidR="00297252" w:rsidRPr="00C116A0">
        <w:rPr>
          <w:rFonts w:ascii="Times New Roman" w:hAnsi="Times New Roman" w:cs="Times New Roman"/>
          <w:sz w:val="24"/>
          <w:szCs w:val="24"/>
        </w:rPr>
        <w:t xml:space="preserve"> </w:t>
      </w:r>
      <w:r w:rsidR="0037277F" w:rsidRPr="00C116A0">
        <w:rPr>
          <w:rFonts w:ascii="Times New Roman" w:hAnsi="Times New Roman" w:cs="Times New Roman"/>
          <w:sz w:val="24"/>
          <w:szCs w:val="24"/>
        </w:rPr>
        <w:t>a beneficio fiscal</w:t>
      </w:r>
      <w:r w:rsidR="0037277F">
        <w:rPr>
          <w:rFonts w:ascii="Times New Roman" w:hAnsi="Times New Roman" w:cs="Times New Roman"/>
          <w:sz w:val="24"/>
          <w:szCs w:val="24"/>
        </w:rPr>
        <w:t>,</w:t>
      </w:r>
      <w:r w:rsidR="0037277F" w:rsidRPr="00C116A0">
        <w:rPr>
          <w:rFonts w:ascii="Times New Roman" w:hAnsi="Times New Roman" w:cs="Times New Roman"/>
          <w:sz w:val="24"/>
          <w:szCs w:val="24"/>
        </w:rPr>
        <w:t xml:space="preserve"> </w:t>
      </w:r>
      <w:r w:rsidR="00297252" w:rsidRPr="00C116A0">
        <w:rPr>
          <w:rFonts w:ascii="Times New Roman" w:hAnsi="Times New Roman" w:cs="Times New Roman"/>
          <w:sz w:val="24"/>
          <w:szCs w:val="24"/>
        </w:rPr>
        <w:t xml:space="preserve">que afectará el </w:t>
      </w:r>
      <w:r w:rsidR="00297252" w:rsidRPr="00F264AB">
        <w:rPr>
          <w:rFonts w:ascii="Times New Roman" w:hAnsi="Times New Roman" w:cs="Times New Roman"/>
          <w:b/>
          <w:bCs/>
          <w:sz w:val="24"/>
          <w:szCs w:val="24"/>
        </w:rPr>
        <w:t>patrimonio total</w:t>
      </w:r>
      <w:r w:rsidR="00297252" w:rsidRPr="00C116A0">
        <w:rPr>
          <w:rFonts w:ascii="Times New Roman" w:hAnsi="Times New Roman" w:cs="Times New Roman"/>
          <w:sz w:val="24"/>
          <w:szCs w:val="24"/>
        </w:rPr>
        <w:t xml:space="preserve"> de las personas naturales con domicilio o residencia</w:t>
      </w:r>
      <w:r w:rsidR="00291DAF" w:rsidRPr="00C116A0">
        <w:rPr>
          <w:rFonts w:ascii="Times New Roman" w:hAnsi="Times New Roman" w:cs="Times New Roman"/>
          <w:sz w:val="24"/>
          <w:szCs w:val="24"/>
        </w:rPr>
        <w:t xml:space="preserve"> en Chile</w:t>
      </w:r>
      <w:r w:rsidR="00541FAE" w:rsidRPr="00F264AB">
        <w:footnoteReference w:id="1"/>
      </w:r>
      <w:r w:rsidR="00297252" w:rsidRPr="00C116A0">
        <w:rPr>
          <w:rFonts w:ascii="Times New Roman" w:hAnsi="Times New Roman" w:cs="Times New Roman"/>
          <w:sz w:val="24"/>
          <w:szCs w:val="24"/>
        </w:rPr>
        <w:t xml:space="preserve"> cuando dicho patrimonio supere el equivalente, en pesos chilenos, a 6.000 UTA</w:t>
      </w:r>
      <w:r w:rsidR="003A0142" w:rsidRPr="00F264AB">
        <w:footnoteReference w:id="2"/>
      </w:r>
      <w:r w:rsidR="00297252" w:rsidRPr="00C116A0">
        <w:rPr>
          <w:rFonts w:ascii="Times New Roman" w:hAnsi="Times New Roman" w:cs="Times New Roman"/>
          <w:sz w:val="24"/>
          <w:szCs w:val="24"/>
        </w:rPr>
        <w:t xml:space="preserve">, según su valor al 31 de diciembre de cada año calendario. </w:t>
      </w:r>
    </w:p>
    <w:p w14:paraId="1156444C" w14:textId="77777777" w:rsidR="0037277F" w:rsidRDefault="0037277F" w:rsidP="00F264AB">
      <w:pPr>
        <w:spacing w:after="0" w:line="276" w:lineRule="auto"/>
        <w:ind w:right="-283"/>
        <w:jc w:val="both"/>
        <w:rPr>
          <w:rFonts w:ascii="Times New Roman" w:hAnsi="Times New Roman" w:cs="Times New Roman"/>
          <w:sz w:val="24"/>
          <w:szCs w:val="24"/>
        </w:rPr>
      </w:pPr>
    </w:p>
    <w:p w14:paraId="2A9517AB" w14:textId="3D340089" w:rsidR="003D591D" w:rsidRDefault="00FC2303" w:rsidP="00F264AB">
      <w:pPr>
        <w:spacing w:after="0" w:line="276" w:lineRule="auto"/>
        <w:ind w:right="-283"/>
        <w:jc w:val="both"/>
        <w:rPr>
          <w:rFonts w:ascii="Times New Roman" w:hAnsi="Times New Roman" w:cs="Times New Roman"/>
          <w:sz w:val="24"/>
          <w:szCs w:val="24"/>
        </w:rPr>
      </w:pPr>
      <w:r>
        <w:rPr>
          <w:rFonts w:ascii="Times New Roman" w:hAnsi="Times New Roman" w:cs="Times New Roman"/>
          <w:sz w:val="24"/>
          <w:szCs w:val="24"/>
        </w:rPr>
        <w:t>Respecto de las personas naturales extranjeras</w:t>
      </w:r>
      <w:r w:rsidR="00480A9D">
        <w:rPr>
          <w:rFonts w:ascii="Times New Roman" w:hAnsi="Times New Roman" w:cs="Times New Roman"/>
          <w:sz w:val="24"/>
          <w:szCs w:val="24"/>
        </w:rPr>
        <w:t xml:space="preserve"> </w:t>
      </w:r>
      <w:r>
        <w:rPr>
          <w:rFonts w:ascii="Times New Roman" w:hAnsi="Times New Roman" w:cs="Times New Roman"/>
          <w:sz w:val="24"/>
          <w:szCs w:val="24"/>
        </w:rPr>
        <w:t>que constituyan su residencia o domicilio en Chile en razón de un contrato de trabajo, les resultará aplicable este impuesto sobre la parte de su patrimonio que hubiese sido adquirido con rentas o ingresos de fuente chilena</w:t>
      </w:r>
      <w:r w:rsidR="00480A9D">
        <w:rPr>
          <w:rFonts w:ascii="Times New Roman" w:hAnsi="Times New Roman" w:cs="Times New Roman"/>
          <w:sz w:val="24"/>
          <w:szCs w:val="24"/>
        </w:rPr>
        <w:t xml:space="preserve">, </w:t>
      </w:r>
      <w:r>
        <w:rPr>
          <w:rFonts w:ascii="Times New Roman" w:hAnsi="Times New Roman" w:cs="Times New Roman"/>
          <w:sz w:val="24"/>
          <w:szCs w:val="24"/>
        </w:rPr>
        <w:t xml:space="preserve">por un plazo de tres años desde su ingreso al país. Transcurrido ese período, les resultará aplicable este impuesto por la totalidad de su patrimonio. </w:t>
      </w:r>
    </w:p>
    <w:p w14:paraId="582E92E9" w14:textId="77777777" w:rsidR="003D591D" w:rsidRDefault="003D591D" w:rsidP="00915830">
      <w:pPr>
        <w:spacing w:after="0" w:line="276" w:lineRule="auto"/>
        <w:ind w:left="-283" w:right="-283"/>
        <w:jc w:val="both"/>
        <w:rPr>
          <w:rFonts w:ascii="Times New Roman" w:hAnsi="Times New Roman" w:cs="Times New Roman"/>
          <w:sz w:val="24"/>
          <w:szCs w:val="24"/>
        </w:rPr>
      </w:pPr>
    </w:p>
    <w:p w14:paraId="046E1482" w14:textId="2AF69E57" w:rsidR="00297252" w:rsidRPr="00A02455" w:rsidRDefault="00FD1113" w:rsidP="00F264AB">
      <w:pPr>
        <w:spacing w:after="0" w:line="276" w:lineRule="auto"/>
        <w:ind w:right="-283"/>
        <w:jc w:val="both"/>
        <w:rPr>
          <w:rFonts w:ascii="Times New Roman" w:hAnsi="Times New Roman" w:cs="Times New Roman"/>
          <w:sz w:val="24"/>
          <w:szCs w:val="24"/>
        </w:rPr>
      </w:pPr>
      <w:r w:rsidRPr="00A02455">
        <w:rPr>
          <w:rFonts w:ascii="Times New Roman" w:hAnsi="Times New Roman" w:cs="Times New Roman"/>
          <w:sz w:val="24"/>
          <w:szCs w:val="24"/>
        </w:rPr>
        <w:lastRenderedPageBreak/>
        <w:t>E</w:t>
      </w:r>
      <w:r w:rsidR="00297252" w:rsidRPr="00A02455">
        <w:rPr>
          <w:rFonts w:ascii="Times New Roman" w:hAnsi="Times New Roman" w:cs="Times New Roman"/>
          <w:sz w:val="24"/>
          <w:szCs w:val="24"/>
        </w:rPr>
        <w:t xml:space="preserve">starán igualmente obligados </w:t>
      </w:r>
      <w:r w:rsidR="00297252" w:rsidRPr="00F264AB">
        <w:rPr>
          <w:rFonts w:ascii="Times New Roman" w:hAnsi="Times New Roman" w:cs="Times New Roman"/>
          <w:b/>
          <w:bCs/>
          <w:sz w:val="24"/>
          <w:szCs w:val="24"/>
        </w:rPr>
        <w:t>a declarar</w:t>
      </w:r>
      <w:r w:rsidR="00297252" w:rsidRPr="00A02455">
        <w:rPr>
          <w:rFonts w:ascii="Times New Roman" w:hAnsi="Times New Roman" w:cs="Times New Roman"/>
          <w:sz w:val="24"/>
          <w:szCs w:val="24"/>
        </w:rPr>
        <w:t xml:space="preserve"> el monto de su patrimonio total aquellas personas naturales cuyo patrimonio supere el equivalente</w:t>
      </w:r>
      <w:r w:rsidR="00480A9D">
        <w:rPr>
          <w:rFonts w:ascii="Times New Roman" w:hAnsi="Times New Roman" w:cs="Times New Roman"/>
          <w:sz w:val="24"/>
          <w:szCs w:val="24"/>
        </w:rPr>
        <w:t>,</w:t>
      </w:r>
      <w:r w:rsidR="00297252" w:rsidRPr="00A02455">
        <w:rPr>
          <w:rFonts w:ascii="Times New Roman" w:hAnsi="Times New Roman" w:cs="Times New Roman"/>
          <w:sz w:val="24"/>
          <w:szCs w:val="24"/>
        </w:rPr>
        <w:t xml:space="preserve"> en pesos chilenos, a 4.000 UTA</w:t>
      </w:r>
      <w:r w:rsidR="00915FEF" w:rsidRPr="00F264AB">
        <w:footnoteReference w:id="3"/>
      </w:r>
      <w:r w:rsidR="00297252" w:rsidRPr="00A02455">
        <w:rPr>
          <w:rFonts w:ascii="Times New Roman" w:hAnsi="Times New Roman" w:cs="Times New Roman"/>
          <w:sz w:val="24"/>
          <w:szCs w:val="24"/>
        </w:rPr>
        <w:t xml:space="preserve">, según el valor correspondiente a diciembre de cada año calendario, aunque no queden sujetos al pago de este impuesto. </w:t>
      </w:r>
    </w:p>
    <w:p w14:paraId="0E157B3F" w14:textId="77777777" w:rsidR="00297252" w:rsidRPr="00A02455" w:rsidRDefault="00297252" w:rsidP="00915830">
      <w:pPr>
        <w:spacing w:after="0" w:line="276" w:lineRule="auto"/>
        <w:jc w:val="both"/>
        <w:rPr>
          <w:rFonts w:ascii="Times New Roman" w:hAnsi="Times New Roman" w:cs="Times New Roman"/>
          <w:sz w:val="24"/>
          <w:szCs w:val="24"/>
        </w:rPr>
      </w:pPr>
    </w:p>
    <w:p w14:paraId="6925E651" w14:textId="7CF82B7F" w:rsidR="00297252" w:rsidRPr="00A02455" w:rsidRDefault="00297252" w:rsidP="00915FEF">
      <w:pPr>
        <w:pStyle w:val="Prrafodelista"/>
        <w:numPr>
          <w:ilvl w:val="0"/>
          <w:numId w:val="4"/>
        </w:numPr>
        <w:spacing w:after="0" w:line="276" w:lineRule="auto"/>
        <w:ind w:right="-283"/>
        <w:jc w:val="both"/>
        <w:rPr>
          <w:rFonts w:ascii="Times New Roman" w:hAnsi="Times New Roman" w:cs="Times New Roman"/>
          <w:b/>
          <w:bCs/>
          <w:sz w:val="24"/>
          <w:szCs w:val="24"/>
        </w:rPr>
      </w:pPr>
      <w:r w:rsidRPr="00A02455">
        <w:rPr>
          <w:rFonts w:ascii="Times New Roman" w:hAnsi="Times New Roman" w:cs="Times New Roman"/>
          <w:b/>
          <w:bCs/>
          <w:sz w:val="24"/>
          <w:szCs w:val="24"/>
        </w:rPr>
        <w:t>Tramos Impuesto al Patrimonio</w:t>
      </w:r>
      <w:r w:rsidR="00915FEF">
        <w:rPr>
          <w:rFonts w:ascii="Times New Roman" w:hAnsi="Times New Roman" w:cs="Times New Roman"/>
          <w:b/>
          <w:bCs/>
          <w:sz w:val="24"/>
          <w:szCs w:val="24"/>
        </w:rPr>
        <w:t>.</w:t>
      </w:r>
    </w:p>
    <w:p w14:paraId="6E01A7BC" w14:textId="77777777" w:rsidR="00297252" w:rsidRPr="00A02455" w:rsidRDefault="00297252" w:rsidP="00915830">
      <w:pPr>
        <w:spacing w:after="0" w:line="276" w:lineRule="auto"/>
        <w:jc w:val="both"/>
        <w:rPr>
          <w:rFonts w:ascii="Times New Roman" w:hAnsi="Times New Roman" w:cs="Times New Roman"/>
          <w:sz w:val="24"/>
          <w:szCs w:val="24"/>
        </w:rPr>
      </w:pPr>
    </w:p>
    <w:p w14:paraId="508CD03B" w14:textId="78669B07" w:rsidR="00297252" w:rsidRPr="00A02455" w:rsidRDefault="00297252" w:rsidP="00F264AB">
      <w:pPr>
        <w:spacing w:after="0" w:line="276" w:lineRule="auto"/>
        <w:ind w:right="-283"/>
        <w:jc w:val="both"/>
        <w:rPr>
          <w:rFonts w:ascii="Times New Roman" w:hAnsi="Times New Roman" w:cs="Times New Roman"/>
          <w:sz w:val="24"/>
          <w:szCs w:val="24"/>
        </w:rPr>
      </w:pPr>
      <w:r w:rsidRPr="00A02455">
        <w:rPr>
          <w:rFonts w:ascii="Times New Roman" w:hAnsi="Times New Roman" w:cs="Times New Roman"/>
          <w:sz w:val="24"/>
          <w:szCs w:val="24"/>
        </w:rPr>
        <w:t>Este impuesto se aplicará en atención a los siguientes tramos:</w:t>
      </w:r>
    </w:p>
    <w:p w14:paraId="135665A4" w14:textId="77777777" w:rsidR="00A553C5" w:rsidRPr="00A02455" w:rsidRDefault="00A553C5" w:rsidP="00915830">
      <w:pPr>
        <w:spacing w:after="0" w:line="276" w:lineRule="auto"/>
        <w:jc w:val="both"/>
        <w:rPr>
          <w:rFonts w:ascii="Times New Roman" w:hAnsi="Times New Roman" w:cs="Times New Roman"/>
          <w:sz w:val="24"/>
          <w:szCs w:val="24"/>
        </w:rPr>
      </w:pPr>
    </w:p>
    <w:tbl>
      <w:tblPr>
        <w:tblW w:w="0" w:type="auto"/>
        <w:tblInd w:w="459" w:type="dxa"/>
        <w:tblLayout w:type="fixed"/>
        <w:tblLook w:val="06A0" w:firstRow="1" w:lastRow="0" w:firstColumn="1" w:lastColumn="0" w:noHBand="1" w:noVBand="1"/>
      </w:tblPr>
      <w:tblGrid>
        <w:gridCol w:w="2976"/>
        <w:gridCol w:w="3482"/>
        <w:gridCol w:w="1513"/>
      </w:tblGrid>
      <w:tr w:rsidR="00297252" w:rsidRPr="00DF1BD7" w14:paraId="7583CB51" w14:textId="77777777" w:rsidTr="00541FAE">
        <w:trPr>
          <w:trHeight w:val="233"/>
        </w:trPr>
        <w:tc>
          <w:tcPr>
            <w:tcW w:w="2976" w:type="dxa"/>
            <w:tcBorders>
              <w:top w:val="single" w:sz="12" w:space="0" w:color="000000"/>
              <w:left w:val="single" w:sz="12" w:space="0" w:color="000000"/>
              <w:bottom w:val="single" w:sz="8" w:space="0" w:color="000000"/>
              <w:right w:val="single" w:sz="8" w:space="0" w:color="000000"/>
            </w:tcBorders>
            <w:shd w:val="clear" w:color="auto" w:fill="002060"/>
            <w:vAlign w:val="center"/>
          </w:tcPr>
          <w:p w14:paraId="0F5AE0B9" w14:textId="77777777" w:rsidR="00297252" w:rsidRPr="00A02455" w:rsidRDefault="00297252" w:rsidP="00915830">
            <w:pPr>
              <w:spacing w:after="0" w:line="30" w:lineRule="atLeast"/>
              <w:contextualSpacing/>
              <w:jc w:val="both"/>
              <w:rPr>
                <w:rFonts w:ascii="Times New Roman" w:eastAsia="Courier New" w:hAnsi="Times New Roman" w:cs="Times New Roman"/>
                <w:b/>
                <w:bCs/>
                <w:color w:val="FFFFFF"/>
                <w:sz w:val="24"/>
                <w:szCs w:val="24"/>
              </w:rPr>
            </w:pPr>
            <w:r w:rsidRPr="00A02455">
              <w:rPr>
                <w:rFonts w:ascii="Times New Roman" w:eastAsia="Courier New" w:hAnsi="Times New Roman" w:cs="Times New Roman"/>
                <w:b/>
                <w:bCs/>
                <w:color w:val="FFFFFF"/>
                <w:sz w:val="24"/>
                <w:szCs w:val="24"/>
              </w:rPr>
              <w:t>Tramo (UTA)</w:t>
            </w:r>
          </w:p>
        </w:tc>
        <w:tc>
          <w:tcPr>
            <w:tcW w:w="3482" w:type="dxa"/>
            <w:tcBorders>
              <w:top w:val="single" w:sz="12" w:space="0" w:color="000000"/>
              <w:left w:val="single" w:sz="8" w:space="0" w:color="000000"/>
              <w:bottom w:val="single" w:sz="8" w:space="0" w:color="000000"/>
              <w:right w:val="single" w:sz="8" w:space="0" w:color="000000"/>
            </w:tcBorders>
            <w:shd w:val="clear" w:color="auto" w:fill="002060"/>
            <w:vAlign w:val="center"/>
          </w:tcPr>
          <w:p w14:paraId="2C6BE137" w14:textId="77777777" w:rsidR="00297252" w:rsidRPr="00A02455" w:rsidRDefault="00297252" w:rsidP="00915830">
            <w:pPr>
              <w:spacing w:after="0" w:line="30" w:lineRule="atLeast"/>
              <w:contextualSpacing/>
              <w:jc w:val="both"/>
              <w:rPr>
                <w:rFonts w:ascii="Times New Roman" w:eastAsia="Courier New" w:hAnsi="Times New Roman" w:cs="Times New Roman"/>
                <w:b/>
                <w:bCs/>
                <w:color w:val="FFFFFF"/>
                <w:sz w:val="24"/>
                <w:szCs w:val="24"/>
              </w:rPr>
            </w:pPr>
            <w:r w:rsidRPr="00A02455">
              <w:rPr>
                <w:rFonts w:ascii="Times New Roman" w:eastAsia="Courier New" w:hAnsi="Times New Roman" w:cs="Times New Roman"/>
                <w:b/>
                <w:bCs/>
                <w:color w:val="FFFFFF"/>
                <w:sz w:val="24"/>
                <w:szCs w:val="24"/>
              </w:rPr>
              <w:t>Tramo (US$)</w:t>
            </w:r>
          </w:p>
        </w:tc>
        <w:tc>
          <w:tcPr>
            <w:tcW w:w="1513" w:type="dxa"/>
            <w:tcBorders>
              <w:top w:val="single" w:sz="12" w:space="0" w:color="000000"/>
              <w:left w:val="single" w:sz="8" w:space="0" w:color="000000"/>
              <w:bottom w:val="single" w:sz="8" w:space="0" w:color="000000"/>
              <w:right w:val="single" w:sz="12" w:space="0" w:color="000000"/>
            </w:tcBorders>
            <w:shd w:val="clear" w:color="auto" w:fill="002060"/>
            <w:vAlign w:val="center"/>
          </w:tcPr>
          <w:p w14:paraId="41ABC3D0" w14:textId="77777777" w:rsidR="00297252" w:rsidRPr="00A02455" w:rsidRDefault="00297252" w:rsidP="00915830">
            <w:pPr>
              <w:spacing w:after="0" w:line="30" w:lineRule="atLeast"/>
              <w:contextualSpacing/>
              <w:jc w:val="both"/>
              <w:rPr>
                <w:rFonts w:ascii="Times New Roman" w:eastAsia="Courier New" w:hAnsi="Times New Roman" w:cs="Times New Roman"/>
                <w:b/>
                <w:bCs/>
                <w:color w:val="FFFFFF"/>
                <w:sz w:val="24"/>
                <w:szCs w:val="24"/>
              </w:rPr>
            </w:pPr>
            <w:r w:rsidRPr="00A02455">
              <w:rPr>
                <w:rFonts w:ascii="Times New Roman" w:eastAsia="Courier New" w:hAnsi="Times New Roman" w:cs="Times New Roman"/>
                <w:b/>
                <w:bCs/>
                <w:color w:val="FFFFFF"/>
                <w:sz w:val="24"/>
                <w:szCs w:val="24"/>
              </w:rPr>
              <w:t>Tasa</w:t>
            </w:r>
          </w:p>
        </w:tc>
      </w:tr>
      <w:tr w:rsidR="00297252" w:rsidRPr="00DF1BD7" w14:paraId="7C55B36F" w14:textId="77777777" w:rsidTr="00541FAE">
        <w:trPr>
          <w:trHeight w:val="162"/>
        </w:trPr>
        <w:tc>
          <w:tcPr>
            <w:tcW w:w="2976" w:type="dxa"/>
            <w:tcBorders>
              <w:top w:val="single" w:sz="8" w:space="0" w:color="000000"/>
              <w:left w:val="single" w:sz="12" w:space="0" w:color="000000"/>
              <w:bottom w:val="nil"/>
              <w:right w:val="single" w:sz="8" w:space="0" w:color="000000"/>
            </w:tcBorders>
            <w:vAlign w:val="center"/>
          </w:tcPr>
          <w:p w14:paraId="5C1BCA93" w14:textId="77777777" w:rsidR="00297252" w:rsidRPr="00A02455" w:rsidRDefault="00297252" w:rsidP="00915830">
            <w:pPr>
              <w:spacing w:after="0" w:line="30" w:lineRule="atLeast"/>
              <w:contextualSpacing/>
              <w:jc w:val="both"/>
              <w:rPr>
                <w:rFonts w:ascii="Times New Roman" w:eastAsia="Courier New" w:hAnsi="Times New Roman" w:cs="Times New Roman"/>
                <w:b/>
                <w:bCs/>
                <w:color w:val="000000"/>
                <w:sz w:val="24"/>
                <w:szCs w:val="24"/>
              </w:rPr>
            </w:pPr>
            <w:r w:rsidRPr="00A02455">
              <w:rPr>
                <w:rFonts w:ascii="Times New Roman" w:eastAsia="Courier New" w:hAnsi="Times New Roman" w:cs="Times New Roman"/>
                <w:b/>
                <w:bCs/>
                <w:color w:val="000000"/>
                <w:sz w:val="24"/>
                <w:szCs w:val="24"/>
              </w:rPr>
              <w:t>Hasta 6.000 UTA</w:t>
            </w:r>
          </w:p>
        </w:tc>
        <w:tc>
          <w:tcPr>
            <w:tcW w:w="3482" w:type="dxa"/>
            <w:tcBorders>
              <w:top w:val="single" w:sz="8" w:space="0" w:color="000000"/>
              <w:left w:val="single" w:sz="8" w:space="0" w:color="000000"/>
              <w:bottom w:val="nil"/>
              <w:right w:val="single" w:sz="8" w:space="0" w:color="000000"/>
            </w:tcBorders>
            <w:vAlign w:val="center"/>
          </w:tcPr>
          <w:p w14:paraId="313755D3" w14:textId="77777777" w:rsidR="00297252" w:rsidRPr="00A02455" w:rsidRDefault="00297252" w:rsidP="00915830">
            <w:pPr>
              <w:spacing w:after="0" w:line="30" w:lineRule="atLeast"/>
              <w:contextualSpacing/>
              <w:jc w:val="both"/>
              <w:rPr>
                <w:rFonts w:ascii="Times New Roman" w:eastAsia="Courier New" w:hAnsi="Times New Roman" w:cs="Times New Roman"/>
                <w:b/>
                <w:bCs/>
                <w:color w:val="000000"/>
                <w:sz w:val="24"/>
                <w:szCs w:val="24"/>
              </w:rPr>
            </w:pPr>
            <w:r w:rsidRPr="00A02455">
              <w:rPr>
                <w:rFonts w:ascii="Times New Roman" w:eastAsia="Courier New" w:hAnsi="Times New Roman" w:cs="Times New Roman"/>
                <w:b/>
                <w:bCs/>
                <w:color w:val="000000"/>
                <w:sz w:val="24"/>
                <w:szCs w:val="24"/>
              </w:rPr>
              <w:t>Hasta 4,9 millones</w:t>
            </w:r>
          </w:p>
        </w:tc>
        <w:tc>
          <w:tcPr>
            <w:tcW w:w="1513" w:type="dxa"/>
            <w:tcBorders>
              <w:top w:val="single" w:sz="8" w:space="0" w:color="000000"/>
              <w:left w:val="single" w:sz="8" w:space="0" w:color="000000"/>
              <w:bottom w:val="nil"/>
              <w:right w:val="single" w:sz="12" w:space="0" w:color="000000"/>
            </w:tcBorders>
            <w:vAlign w:val="center"/>
          </w:tcPr>
          <w:p w14:paraId="32E45320" w14:textId="77777777" w:rsidR="00297252" w:rsidRPr="00A02455" w:rsidRDefault="00297252" w:rsidP="00915830">
            <w:pPr>
              <w:spacing w:after="0" w:line="30" w:lineRule="atLeast"/>
              <w:contextualSpacing/>
              <w:jc w:val="both"/>
              <w:rPr>
                <w:rFonts w:ascii="Times New Roman" w:eastAsia="Courier New" w:hAnsi="Times New Roman" w:cs="Times New Roman"/>
                <w:b/>
                <w:bCs/>
                <w:color w:val="000000"/>
                <w:sz w:val="24"/>
                <w:szCs w:val="24"/>
              </w:rPr>
            </w:pPr>
            <w:r w:rsidRPr="00A02455">
              <w:rPr>
                <w:rFonts w:ascii="Times New Roman" w:eastAsia="Courier New" w:hAnsi="Times New Roman" w:cs="Times New Roman"/>
                <w:b/>
                <w:bCs/>
                <w:color w:val="000000"/>
                <w:sz w:val="24"/>
                <w:szCs w:val="24"/>
              </w:rPr>
              <w:t>Exento</w:t>
            </w:r>
          </w:p>
        </w:tc>
      </w:tr>
      <w:tr w:rsidR="00297252" w:rsidRPr="00DF1BD7" w14:paraId="742DFF79" w14:textId="77777777" w:rsidTr="00541FAE">
        <w:trPr>
          <w:trHeight w:val="162"/>
        </w:trPr>
        <w:tc>
          <w:tcPr>
            <w:tcW w:w="2976" w:type="dxa"/>
            <w:tcBorders>
              <w:top w:val="nil"/>
              <w:left w:val="single" w:sz="12" w:space="0" w:color="000000"/>
              <w:bottom w:val="nil"/>
              <w:right w:val="single" w:sz="8" w:space="0" w:color="000000"/>
            </w:tcBorders>
            <w:vAlign w:val="center"/>
          </w:tcPr>
          <w:p w14:paraId="7ED1AE18" w14:textId="77777777" w:rsidR="00297252" w:rsidRPr="00A02455" w:rsidRDefault="00297252" w:rsidP="00915830">
            <w:pPr>
              <w:spacing w:after="0" w:line="30" w:lineRule="atLeast"/>
              <w:contextualSpacing/>
              <w:jc w:val="both"/>
              <w:rPr>
                <w:rFonts w:ascii="Times New Roman" w:eastAsia="Courier New" w:hAnsi="Times New Roman" w:cs="Times New Roman"/>
                <w:b/>
                <w:bCs/>
                <w:color w:val="000000"/>
                <w:sz w:val="24"/>
                <w:szCs w:val="24"/>
              </w:rPr>
            </w:pPr>
            <w:r w:rsidRPr="00A02455">
              <w:rPr>
                <w:rFonts w:ascii="Times New Roman" w:eastAsia="Courier New" w:hAnsi="Times New Roman" w:cs="Times New Roman"/>
                <w:b/>
                <w:bCs/>
                <w:color w:val="000000"/>
                <w:sz w:val="24"/>
                <w:szCs w:val="24"/>
              </w:rPr>
              <w:t>6.000 - 18.000 UTA</w:t>
            </w:r>
          </w:p>
        </w:tc>
        <w:tc>
          <w:tcPr>
            <w:tcW w:w="3482" w:type="dxa"/>
            <w:tcBorders>
              <w:top w:val="nil"/>
              <w:left w:val="single" w:sz="8" w:space="0" w:color="000000"/>
              <w:bottom w:val="nil"/>
              <w:right w:val="single" w:sz="8" w:space="0" w:color="000000"/>
            </w:tcBorders>
            <w:vAlign w:val="center"/>
          </w:tcPr>
          <w:p w14:paraId="4D10C9D3" w14:textId="77777777" w:rsidR="00297252" w:rsidRPr="00A02455" w:rsidRDefault="00297252" w:rsidP="00915830">
            <w:pPr>
              <w:spacing w:after="0" w:line="30" w:lineRule="atLeast"/>
              <w:contextualSpacing/>
              <w:jc w:val="both"/>
              <w:rPr>
                <w:rFonts w:ascii="Times New Roman" w:eastAsia="Courier New" w:hAnsi="Times New Roman" w:cs="Times New Roman"/>
                <w:b/>
                <w:bCs/>
                <w:color w:val="000000"/>
                <w:sz w:val="24"/>
                <w:szCs w:val="24"/>
              </w:rPr>
            </w:pPr>
            <w:r w:rsidRPr="00A02455">
              <w:rPr>
                <w:rFonts w:ascii="Times New Roman" w:eastAsia="Courier New" w:hAnsi="Times New Roman" w:cs="Times New Roman"/>
                <w:b/>
                <w:bCs/>
                <w:color w:val="000000"/>
                <w:sz w:val="24"/>
                <w:szCs w:val="24"/>
              </w:rPr>
              <w:t>4,9 – 14,7 millones</w:t>
            </w:r>
          </w:p>
        </w:tc>
        <w:tc>
          <w:tcPr>
            <w:tcW w:w="1513" w:type="dxa"/>
            <w:tcBorders>
              <w:top w:val="nil"/>
              <w:left w:val="single" w:sz="8" w:space="0" w:color="000000"/>
              <w:bottom w:val="nil"/>
              <w:right w:val="single" w:sz="12" w:space="0" w:color="000000"/>
            </w:tcBorders>
            <w:vAlign w:val="center"/>
          </w:tcPr>
          <w:p w14:paraId="181B8E47" w14:textId="77777777" w:rsidR="00297252" w:rsidRPr="00A02455" w:rsidRDefault="00297252" w:rsidP="00915830">
            <w:pPr>
              <w:spacing w:after="0" w:line="30" w:lineRule="atLeast"/>
              <w:contextualSpacing/>
              <w:jc w:val="both"/>
              <w:rPr>
                <w:rFonts w:ascii="Times New Roman" w:eastAsia="Courier New" w:hAnsi="Times New Roman" w:cs="Times New Roman"/>
                <w:b/>
                <w:bCs/>
                <w:color w:val="000000"/>
                <w:sz w:val="24"/>
                <w:szCs w:val="24"/>
              </w:rPr>
            </w:pPr>
            <w:r w:rsidRPr="00A02455">
              <w:rPr>
                <w:rFonts w:ascii="Times New Roman" w:eastAsia="Courier New" w:hAnsi="Times New Roman" w:cs="Times New Roman"/>
                <w:b/>
                <w:bCs/>
                <w:color w:val="000000"/>
                <w:sz w:val="24"/>
                <w:szCs w:val="24"/>
              </w:rPr>
              <w:t>1%</w:t>
            </w:r>
          </w:p>
        </w:tc>
      </w:tr>
      <w:tr w:rsidR="00297252" w:rsidRPr="00DF1BD7" w14:paraId="705C9F96" w14:textId="77777777" w:rsidTr="00541FAE">
        <w:trPr>
          <w:trHeight w:val="162"/>
        </w:trPr>
        <w:tc>
          <w:tcPr>
            <w:tcW w:w="2976" w:type="dxa"/>
            <w:tcBorders>
              <w:top w:val="nil"/>
              <w:left w:val="single" w:sz="12" w:space="0" w:color="000000"/>
              <w:bottom w:val="single" w:sz="12" w:space="0" w:color="000000"/>
              <w:right w:val="single" w:sz="8" w:space="0" w:color="000000"/>
            </w:tcBorders>
            <w:vAlign w:val="center"/>
          </w:tcPr>
          <w:p w14:paraId="23AEC250" w14:textId="77777777" w:rsidR="00297252" w:rsidRPr="00A02455" w:rsidRDefault="00297252" w:rsidP="00915830">
            <w:pPr>
              <w:spacing w:after="0" w:line="30" w:lineRule="atLeast"/>
              <w:contextualSpacing/>
              <w:jc w:val="both"/>
              <w:rPr>
                <w:rFonts w:ascii="Times New Roman" w:eastAsia="Courier New" w:hAnsi="Times New Roman" w:cs="Times New Roman"/>
                <w:b/>
                <w:bCs/>
                <w:color w:val="000000"/>
                <w:sz w:val="24"/>
                <w:szCs w:val="24"/>
              </w:rPr>
            </w:pPr>
            <w:r w:rsidRPr="00A02455">
              <w:rPr>
                <w:rFonts w:ascii="Times New Roman" w:eastAsia="Courier New" w:hAnsi="Times New Roman" w:cs="Times New Roman"/>
                <w:b/>
                <w:bCs/>
                <w:color w:val="000000"/>
                <w:sz w:val="24"/>
                <w:szCs w:val="24"/>
              </w:rPr>
              <w:t>Más de 18.000 UTA</w:t>
            </w:r>
          </w:p>
        </w:tc>
        <w:tc>
          <w:tcPr>
            <w:tcW w:w="3482" w:type="dxa"/>
            <w:tcBorders>
              <w:top w:val="nil"/>
              <w:left w:val="single" w:sz="8" w:space="0" w:color="000000"/>
              <w:bottom w:val="single" w:sz="12" w:space="0" w:color="000000"/>
              <w:right w:val="single" w:sz="8" w:space="0" w:color="000000"/>
            </w:tcBorders>
            <w:vAlign w:val="center"/>
          </w:tcPr>
          <w:p w14:paraId="02614C8F" w14:textId="77777777" w:rsidR="00297252" w:rsidRPr="00A02455" w:rsidRDefault="00297252" w:rsidP="00915830">
            <w:pPr>
              <w:spacing w:after="0" w:line="30" w:lineRule="atLeast"/>
              <w:contextualSpacing/>
              <w:jc w:val="both"/>
              <w:rPr>
                <w:rFonts w:ascii="Times New Roman" w:eastAsia="Courier New" w:hAnsi="Times New Roman" w:cs="Times New Roman"/>
                <w:b/>
                <w:bCs/>
                <w:color w:val="000000"/>
                <w:sz w:val="24"/>
                <w:szCs w:val="24"/>
              </w:rPr>
            </w:pPr>
            <w:r w:rsidRPr="00A02455">
              <w:rPr>
                <w:rFonts w:ascii="Times New Roman" w:eastAsia="Courier New" w:hAnsi="Times New Roman" w:cs="Times New Roman"/>
                <w:b/>
                <w:bCs/>
                <w:color w:val="000000"/>
                <w:sz w:val="24"/>
                <w:szCs w:val="24"/>
              </w:rPr>
              <w:t>Más de 14,7 millones</w:t>
            </w:r>
          </w:p>
        </w:tc>
        <w:tc>
          <w:tcPr>
            <w:tcW w:w="1513" w:type="dxa"/>
            <w:tcBorders>
              <w:top w:val="nil"/>
              <w:left w:val="single" w:sz="8" w:space="0" w:color="000000"/>
              <w:bottom w:val="single" w:sz="12" w:space="0" w:color="000000"/>
              <w:right w:val="single" w:sz="12" w:space="0" w:color="000000"/>
            </w:tcBorders>
            <w:vAlign w:val="center"/>
          </w:tcPr>
          <w:p w14:paraId="69C2C717" w14:textId="77777777" w:rsidR="00297252" w:rsidRPr="00A02455" w:rsidRDefault="00297252" w:rsidP="00915830">
            <w:pPr>
              <w:spacing w:after="0" w:line="30" w:lineRule="atLeast"/>
              <w:contextualSpacing/>
              <w:jc w:val="both"/>
              <w:rPr>
                <w:rFonts w:ascii="Times New Roman" w:eastAsia="Courier New" w:hAnsi="Times New Roman" w:cs="Times New Roman"/>
                <w:b/>
                <w:bCs/>
                <w:color w:val="000000"/>
                <w:sz w:val="24"/>
                <w:szCs w:val="24"/>
              </w:rPr>
            </w:pPr>
            <w:r w:rsidRPr="00A02455">
              <w:rPr>
                <w:rFonts w:ascii="Times New Roman" w:eastAsia="Courier New" w:hAnsi="Times New Roman" w:cs="Times New Roman"/>
                <w:b/>
                <w:bCs/>
                <w:color w:val="000000"/>
                <w:sz w:val="24"/>
                <w:szCs w:val="24"/>
              </w:rPr>
              <w:t>1,8%</w:t>
            </w:r>
          </w:p>
        </w:tc>
      </w:tr>
    </w:tbl>
    <w:p w14:paraId="74B5F941" w14:textId="58A3C76F" w:rsidR="00297252" w:rsidRPr="00DF1BD7" w:rsidRDefault="00297252" w:rsidP="00915830">
      <w:pPr>
        <w:spacing w:after="0" w:line="30" w:lineRule="atLeast"/>
        <w:ind w:firstLine="567"/>
        <w:contextualSpacing/>
        <w:jc w:val="both"/>
        <w:rPr>
          <w:rFonts w:ascii="Times New Roman" w:hAnsi="Times New Roman" w:cs="Times New Roman"/>
          <w:sz w:val="24"/>
          <w:szCs w:val="24"/>
        </w:rPr>
      </w:pPr>
      <w:r w:rsidRPr="00DF1BD7">
        <w:rPr>
          <w:rFonts w:ascii="Times New Roman" w:hAnsi="Times New Roman" w:cs="Times New Roman"/>
          <w:sz w:val="24"/>
          <w:szCs w:val="24"/>
        </w:rPr>
        <w:t>Fuente: Ministerio de Hacienda</w:t>
      </w:r>
    </w:p>
    <w:p w14:paraId="04283298" w14:textId="77777777" w:rsidR="00297252" w:rsidRPr="00C116A0" w:rsidRDefault="00297252" w:rsidP="00915830">
      <w:pPr>
        <w:spacing w:after="0" w:line="276" w:lineRule="auto"/>
        <w:jc w:val="both"/>
        <w:rPr>
          <w:rFonts w:ascii="Times New Roman" w:hAnsi="Times New Roman" w:cs="Times New Roman"/>
          <w:sz w:val="24"/>
          <w:szCs w:val="24"/>
        </w:rPr>
      </w:pPr>
    </w:p>
    <w:p w14:paraId="1529ADFD" w14:textId="77777777" w:rsidR="00297252" w:rsidRPr="00C116A0" w:rsidRDefault="00297252" w:rsidP="00915FEF">
      <w:pPr>
        <w:pStyle w:val="Prrafodelista"/>
        <w:numPr>
          <w:ilvl w:val="0"/>
          <w:numId w:val="4"/>
        </w:numPr>
        <w:spacing w:after="0" w:line="276" w:lineRule="auto"/>
        <w:ind w:right="-283"/>
        <w:jc w:val="both"/>
        <w:rPr>
          <w:rFonts w:ascii="Times New Roman" w:hAnsi="Times New Roman" w:cs="Times New Roman"/>
          <w:b/>
          <w:bCs/>
          <w:sz w:val="24"/>
          <w:szCs w:val="24"/>
        </w:rPr>
      </w:pPr>
      <w:r w:rsidRPr="00C116A0">
        <w:rPr>
          <w:rFonts w:ascii="Times New Roman" w:hAnsi="Times New Roman" w:cs="Times New Roman"/>
          <w:b/>
          <w:bCs/>
          <w:sz w:val="24"/>
          <w:szCs w:val="24"/>
        </w:rPr>
        <w:t xml:space="preserve">Base Imponible. </w:t>
      </w:r>
    </w:p>
    <w:p w14:paraId="7B04824C" w14:textId="77777777" w:rsidR="00297252" w:rsidRPr="00C116A0" w:rsidRDefault="00297252" w:rsidP="00915830">
      <w:pPr>
        <w:spacing w:after="0" w:line="276" w:lineRule="auto"/>
        <w:jc w:val="both"/>
        <w:rPr>
          <w:rFonts w:ascii="Times New Roman" w:hAnsi="Times New Roman" w:cs="Times New Roman"/>
          <w:sz w:val="24"/>
          <w:szCs w:val="24"/>
        </w:rPr>
      </w:pPr>
    </w:p>
    <w:p w14:paraId="211AFCE8" w14:textId="452F2FF9" w:rsidR="003D591D" w:rsidRDefault="00297252" w:rsidP="00F264AB">
      <w:pPr>
        <w:spacing w:after="0" w:line="276" w:lineRule="auto"/>
        <w:ind w:right="-283"/>
        <w:jc w:val="both"/>
        <w:rPr>
          <w:rFonts w:ascii="Times New Roman" w:hAnsi="Times New Roman" w:cs="Times New Roman"/>
          <w:sz w:val="24"/>
          <w:szCs w:val="24"/>
        </w:rPr>
      </w:pPr>
      <w:r w:rsidRPr="00C116A0">
        <w:rPr>
          <w:rFonts w:ascii="Times New Roman" w:hAnsi="Times New Roman" w:cs="Times New Roman"/>
          <w:sz w:val="24"/>
          <w:szCs w:val="24"/>
        </w:rPr>
        <w:t>Para efectos de</w:t>
      </w:r>
      <w:r w:rsidR="00A553C5" w:rsidRPr="00C116A0">
        <w:rPr>
          <w:rFonts w:ascii="Times New Roman" w:hAnsi="Times New Roman" w:cs="Times New Roman"/>
          <w:sz w:val="24"/>
          <w:szCs w:val="24"/>
        </w:rPr>
        <w:t>l proyecto de ley</w:t>
      </w:r>
      <w:r w:rsidRPr="00C116A0">
        <w:rPr>
          <w:rFonts w:ascii="Times New Roman" w:hAnsi="Times New Roman" w:cs="Times New Roman"/>
          <w:sz w:val="24"/>
          <w:szCs w:val="24"/>
        </w:rPr>
        <w:t>, se entenderá por “Patrimonio total”, los activos y pasivos de una persona natural con domicilio o residencia en Chile, consid</w:t>
      </w:r>
      <w:r w:rsidR="00F86A79" w:rsidRPr="00C116A0">
        <w:rPr>
          <w:rFonts w:ascii="Times New Roman" w:hAnsi="Times New Roman" w:cs="Times New Roman"/>
          <w:sz w:val="24"/>
          <w:szCs w:val="24"/>
        </w:rPr>
        <w:t>erándose como activos</w:t>
      </w:r>
      <w:r w:rsidRPr="00C116A0">
        <w:rPr>
          <w:rFonts w:ascii="Times New Roman" w:hAnsi="Times New Roman" w:cs="Times New Roman"/>
          <w:sz w:val="24"/>
          <w:szCs w:val="24"/>
        </w:rPr>
        <w:t xml:space="preserve"> el conjunto de bienes, acciones, derechos, cuotas, valores y beneficios de los que sea titular</w:t>
      </w:r>
      <w:r w:rsidR="00915FEF">
        <w:rPr>
          <w:rFonts w:ascii="Times New Roman" w:hAnsi="Times New Roman" w:cs="Times New Roman"/>
          <w:sz w:val="24"/>
          <w:szCs w:val="24"/>
        </w:rPr>
        <w:t>,</w:t>
      </w:r>
      <w:r w:rsidRPr="00C116A0">
        <w:rPr>
          <w:rFonts w:ascii="Times New Roman" w:hAnsi="Times New Roman" w:cs="Times New Roman"/>
          <w:sz w:val="24"/>
          <w:szCs w:val="24"/>
        </w:rPr>
        <w:t xml:space="preserve"> directa o indirectamente, menos los pasivos cuya deducción se permite, y valorizados conforme lo establece la misma ley. </w:t>
      </w:r>
    </w:p>
    <w:p w14:paraId="75E3746C" w14:textId="77777777" w:rsidR="003D591D" w:rsidRDefault="003D591D" w:rsidP="00F264AB">
      <w:pPr>
        <w:spacing w:after="0" w:line="276" w:lineRule="auto"/>
        <w:ind w:right="-283"/>
        <w:jc w:val="both"/>
        <w:rPr>
          <w:rFonts w:ascii="Times New Roman" w:hAnsi="Times New Roman" w:cs="Times New Roman"/>
          <w:sz w:val="24"/>
          <w:szCs w:val="24"/>
        </w:rPr>
      </w:pPr>
    </w:p>
    <w:p w14:paraId="7DC293B7" w14:textId="1CFD2293" w:rsidR="00297252" w:rsidRPr="004374E0" w:rsidRDefault="00297252" w:rsidP="00F264AB">
      <w:pPr>
        <w:spacing w:after="0" w:line="276" w:lineRule="auto"/>
        <w:ind w:right="-283"/>
        <w:jc w:val="both"/>
        <w:rPr>
          <w:rFonts w:ascii="Times New Roman" w:hAnsi="Times New Roman" w:cs="Times New Roman"/>
          <w:sz w:val="24"/>
          <w:szCs w:val="24"/>
        </w:rPr>
      </w:pPr>
      <w:r w:rsidRPr="004374E0">
        <w:rPr>
          <w:rFonts w:ascii="Times New Roman" w:hAnsi="Times New Roman" w:cs="Times New Roman"/>
          <w:sz w:val="24"/>
          <w:szCs w:val="24"/>
        </w:rPr>
        <w:t>A fin de determinar el patrimonio sobre el cual recae</w:t>
      </w:r>
      <w:r w:rsidR="004374E0">
        <w:rPr>
          <w:rFonts w:ascii="Times New Roman" w:hAnsi="Times New Roman" w:cs="Times New Roman"/>
          <w:sz w:val="24"/>
          <w:szCs w:val="24"/>
        </w:rPr>
        <w:t>rá</w:t>
      </w:r>
      <w:r w:rsidRPr="004374E0">
        <w:rPr>
          <w:rFonts w:ascii="Times New Roman" w:hAnsi="Times New Roman" w:cs="Times New Roman"/>
          <w:sz w:val="24"/>
          <w:szCs w:val="24"/>
        </w:rPr>
        <w:t xml:space="preserve"> este nuevo impuesto, se toman en consideración las siguientes reglas:</w:t>
      </w:r>
    </w:p>
    <w:p w14:paraId="2CA9D808" w14:textId="77777777" w:rsidR="00297252" w:rsidRPr="00C116A0" w:rsidRDefault="00297252" w:rsidP="00915830">
      <w:pPr>
        <w:spacing w:after="0" w:line="276" w:lineRule="auto"/>
        <w:jc w:val="both"/>
        <w:rPr>
          <w:rFonts w:ascii="Times New Roman" w:hAnsi="Times New Roman" w:cs="Times New Roman"/>
          <w:sz w:val="24"/>
          <w:szCs w:val="24"/>
        </w:rPr>
      </w:pPr>
    </w:p>
    <w:p w14:paraId="00B7DB98" w14:textId="362415C7" w:rsidR="003D591D" w:rsidRDefault="00541FAE" w:rsidP="00915830">
      <w:pPr>
        <w:pStyle w:val="Prrafodelista"/>
        <w:numPr>
          <w:ilvl w:val="0"/>
          <w:numId w:val="1"/>
        </w:numPr>
        <w:spacing w:after="0" w:line="276" w:lineRule="auto"/>
        <w:ind w:left="77" w:right="-283"/>
        <w:jc w:val="both"/>
        <w:rPr>
          <w:rFonts w:ascii="Times New Roman" w:hAnsi="Times New Roman" w:cs="Times New Roman"/>
          <w:sz w:val="24"/>
          <w:szCs w:val="24"/>
        </w:rPr>
      </w:pPr>
      <w:r w:rsidRPr="00C116A0">
        <w:rPr>
          <w:rFonts w:ascii="Times New Roman" w:hAnsi="Times New Roman" w:cs="Times New Roman"/>
          <w:sz w:val="24"/>
          <w:szCs w:val="24"/>
        </w:rPr>
        <w:t>D</w:t>
      </w:r>
      <w:r w:rsidR="00297252" w:rsidRPr="00C116A0">
        <w:rPr>
          <w:rFonts w:ascii="Times New Roman" w:hAnsi="Times New Roman" w:cs="Times New Roman"/>
          <w:sz w:val="24"/>
          <w:szCs w:val="24"/>
        </w:rPr>
        <w:t>ebe considerarse el total de los activos</w:t>
      </w:r>
      <w:r w:rsidR="00F86A79" w:rsidRPr="00C116A0">
        <w:rPr>
          <w:rFonts w:ascii="Times New Roman" w:hAnsi="Times New Roman" w:cs="Times New Roman"/>
          <w:sz w:val="24"/>
          <w:szCs w:val="24"/>
        </w:rPr>
        <w:t xml:space="preserve"> a que tenga derecho</w:t>
      </w:r>
      <w:r w:rsidR="004374E0">
        <w:rPr>
          <w:rFonts w:ascii="Times New Roman" w:hAnsi="Times New Roman" w:cs="Times New Roman"/>
          <w:sz w:val="24"/>
          <w:szCs w:val="24"/>
        </w:rPr>
        <w:t>,</w:t>
      </w:r>
      <w:r w:rsidR="00F86A79" w:rsidRPr="00C116A0">
        <w:rPr>
          <w:rFonts w:ascii="Times New Roman" w:hAnsi="Times New Roman" w:cs="Times New Roman"/>
          <w:sz w:val="24"/>
          <w:szCs w:val="24"/>
        </w:rPr>
        <w:t xml:space="preserve"> directa o indirectamente</w:t>
      </w:r>
      <w:r w:rsidR="00297252" w:rsidRPr="00C116A0">
        <w:rPr>
          <w:rFonts w:ascii="Times New Roman" w:hAnsi="Times New Roman" w:cs="Times New Roman"/>
          <w:sz w:val="24"/>
          <w:szCs w:val="24"/>
        </w:rPr>
        <w:t>,</w:t>
      </w:r>
      <w:r w:rsidR="00F86A79" w:rsidRPr="00C116A0">
        <w:rPr>
          <w:rFonts w:ascii="Times New Roman" w:hAnsi="Times New Roman" w:cs="Times New Roman"/>
          <w:sz w:val="24"/>
          <w:szCs w:val="24"/>
        </w:rPr>
        <w:t xml:space="preserve"> sea que se encuentren en Chile o en el exterior,</w:t>
      </w:r>
      <w:r w:rsidR="00297252" w:rsidRPr="00C116A0">
        <w:rPr>
          <w:rFonts w:ascii="Times New Roman" w:hAnsi="Times New Roman" w:cs="Times New Roman"/>
          <w:sz w:val="24"/>
          <w:szCs w:val="24"/>
        </w:rPr>
        <w:t xml:space="preserve"> inclusive cuando sean administrados a través de mandatarios, </w:t>
      </w:r>
      <w:r w:rsidR="00297252" w:rsidRPr="00C116A0">
        <w:rPr>
          <w:rFonts w:ascii="Times New Roman" w:hAnsi="Times New Roman" w:cs="Times New Roman"/>
          <w:i/>
          <w:iCs/>
          <w:sz w:val="24"/>
          <w:szCs w:val="24"/>
        </w:rPr>
        <w:t>trusts</w:t>
      </w:r>
      <w:r w:rsidR="00297252" w:rsidRPr="00C116A0">
        <w:rPr>
          <w:rFonts w:ascii="Times New Roman" w:hAnsi="Times New Roman" w:cs="Times New Roman"/>
          <w:sz w:val="24"/>
          <w:szCs w:val="24"/>
        </w:rPr>
        <w:t xml:space="preserve"> u otros encargos fiduciarios. En el caso de los </w:t>
      </w:r>
      <w:r w:rsidR="00297252" w:rsidRPr="00C116A0">
        <w:rPr>
          <w:rFonts w:ascii="Times New Roman" w:hAnsi="Times New Roman" w:cs="Times New Roman"/>
          <w:i/>
          <w:iCs/>
          <w:sz w:val="24"/>
          <w:szCs w:val="24"/>
        </w:rPr>
        <w:t>trusts</w:t>
      </w:r>
      <w:r w:rsidR="00297252" w:rsidRPr="00C116A0">
        <w:rPr>
          <w:rFonts w:ascii="Times New Roman" w:hAnsi="Times New Roman" w:cs="Times New Roman"/>
          <w:sz w:val="24"/>
          <w:szCs w:val="24"/>
        </w:rPr>
        <w:t>, se deberán considerar todos los activos subyacentes respecto de los cuales el contribuyente sea considerado beneficiario final</w:t>
      </w:r>
      <w:r w:rsidR="00F86A79" w:rsidRPr="00C116A0">
        <w:rPr>
          <w:rStyle w:val="Refdenotaalpie"/>
          <w:rFonts w:ascii="Times New Roman" w:hAnsi="Times New Roman" w:cs="Times New Roman"/>
          <w:sz w:val="24"/>
          <w:szCs w:val="24"/>
        </w:rPr>
        <w:footnoteReference w:id="4"/>
      </w:r>
      <w:r w:rsidR="00297252" w:rsidRPr="00C116A0">
        <w:rPr>
          <w:rFonts w:ascii="Times New Roman" w:hAnsi="Times New Roman" w:cs="Times New Roman"/>
          <w:sz w:val="24"/>
          <w:szCs w:val="24"/>
        </w:rPr>
        <w:t xml:space="preserve">, y los cuales serán declarados </w:t>
      </w:r>
      <w:r w:rsidR="00F86A79" w:rsidRPr="00C116A0">
        <w:rPr>
          <w:rFonts w:ascii="Times New Roman" w:hAnsi="Times New Roman" w:cs="Times New Roman"/>
          <w:sz w:val="24"/>
          <w:szCs w:val="24"/>
        </w:rPr>
        <w:t xml:space="preserve">y reconocidos </w:t>
      </w:r>
      <w:r w:rsidR="00297252" w:rsidRPr="00C116A0">
        <w:rPr>
          <w:rFonts w:ascii="Times New Roman" w:hAnsi="Times New Roman" w:cs="Times New Roman"/>
          <w:sz w:val="24"/>
          <w:szCs w:val="24"/>
        </w:rPr>
        <w:t>por quien corresponda según si el trust es revocable o irrevocable, en la proporción que le corresponda.</w:t>
      </w:r>
    </w:p>
    <w:p w14:paraId="6F7B28F4" w14:textId="77777777" w:rsidR="003D591D" w:rsidRDefault="003D591D" w:rsidP="00915830">
      <w:pPr>
        <w:pStyle w:val="Prrafodelista"/>
        <w:spacing w:after="0" w:line="276" w:lineRule="auto"/>
        <w:ind w:left="77"/>
        <w:jc w:val="both"/>
        <w:rPr>
          <w:rFonts w:ascii="Times New Roman" w:hAnsi="Times New Roman" w:cs="Times New Roman"/>
          <w:sz w:val="24"/>
          <w:szCs w:val="24"/>
        </w:rPr>
      </w:pPr>
    </w:p>
    <w:p w14:paraId="3DACABAB" w14:textId="287018FB" w:rsidR="00297252" w:rsidRPr="003D591D" w:rsidRDefault="00297252" w:rsidP="00915830">
      <w:pPr>
        <w:pStyle w:val="Prrafodelista"/>
        <w:spacing w:after="0" w:line="276" w:lineRule="auto"/>
        <w:ind w:left="77" w:right="-283"/>
        <w:jc w:val="both"/>
        <w:rPr>
          <w:rFonts w:ascii="Times New Roman" w:hAnsi="Times New Roman" w:cs="Times New Roman"/>
          <w:sz w:val="24"/>
          <w:szCs w:val="24"/>
        </w:rPr>
      </w:pPr>
      <w:r w:rsidRPr="003D591D">
        <w:rPr>
          <w:rFonts w:ascii="Times New Roman" w:hAnsi="Times New Roman" w:cs="Times New Roman"/>
          <w:sz w:val="24"/>
          <w:szCs w:val="24"/>
        </w:rPr>
        <w:t xml:space="preserve">También deberá considerarse el patrimonio de fideicomisos, fundaciones de interés privado, y demás estructuras fiduciarias o entidades análogas, sociedades u otros entes de cualquier tipo, sin personalidad jurídica o fiscal, cuando los contribuyentes hubiesen constituido o realizado aportes a dichas estructuras, o fuesen beneficiarios de las mismas. </w:t>
      </w:r>
    </w:p>
    <w:p w14:paraId="2442A52D" w14:textId="77777777" w:rsidR="00297252" w:rsidRPr="00C116A0" w:rsidRDefault="00297252" w:rsidP="00915830">
      <w:pPr>
        <w:pStyle w:val="Prrafodelista"/>
        <w:spacing w:after="0" w:line="276" w:lineRule="auto"/>
        <w:jc w:val="both"/>
        <w:rPr>
          <w:rFonts w:ascii="Times New Roman" w:hAnsi="Times New Roman" w:cs="Times New Roman"/>
          <w:sz w:val="24"/>
          <w:szCs w:val="24"/>
        </w:rPr>
      </w:pPr>
    </w:p>
    <w:p w14:paraId="2BC771F6" w14:textId="7408E1FC" w:rsidR="00297252" w:rsidRPr="00C116A0" w:rsidRDefault="00297252" w:rsidP="004374E0">
      <w:pPr>
        <w:pStyle w:val="Prrafodelista"/>
        <w:numPr>
          <w:ilvl w:val="0"/>
          <w:numId w:val="1"/>
        </w:numPr>
        <w:spacing w:after="0" w:line="276" w:lineRule="auto"/>
        <w:ind w:left="77" w:right="-283"/>
        <w:jc w:val="both"/>
        <w:rPr>
          <w:rFonts w:ascii="Times New Roman" w:hAnsi="Times New Roman" w:cs="Times New Roman"/>
          <w:sz w:val="24"/>
          <w:szCs w:val="24"/>
        </w:rPr>
      </w:pPr>
      <w:r w:rsidRPr="00C116A0">
        <w:rPr>
          <w:rFonts w:ascii="Times New Roman" w:hAnsi="Times New Roman" w:cs="Times New Roman"/>
          <w:sz w:val="24"/>
          <w:szCs w:val="24"/>
        </w:rPr>
        <w:t>Debe</w:t>
      </w:r>
      <w:r w:rsidR="00F86A79" w:rsidRPr="00C116A0">
        <w:rPr>
          <w:rFonts w:ascii="Times New Roman" w:hAnsi="Times New Roman" w:cs="Times New Roman"/>
          <w:sz w:val="24"/>
          <w:szCs w:val="24"/>
        </w:rPr>
        <w:t>rá</w:t>
      </w:r>
      <w:r w:rsidRPr="00C116A0">
        <w:rPr>
          <w:rFonts w:ascii="Times New Roman" w:hAnsi="Times New Roman" w:cs="Times New Roman"/>
          <w:sz w:val="24"/>
          <w:szCs w:val="24"/>
        </w:rPr>
        <w:t xml:space="preserve"> considerarse el patrimonio de los hijos no emancipados legalmente, respecto de los cuales ejerza la patria potestad</w:t>
      </w:r>
      <w:r w:rsidR="004374E0" w:rsidRPr="004374E0">
        <w:footnoteReference w:id="5"/>
      </w:r>
      <w:r w:rsidRPr="00C116A0">
        <w:rPr>
          <w:rFonts w:ascii="Times New Roman" w:hAnsi="Times New Roman" w:cs="Times New Roman"/>
          <w:sz w:val="24"/>
          <w:szCs w:val="24"/>
        </w:rPr>
        <w:t>, quienes no estarán sujetos</w:t>
      </w:r>
      <w:r w:rsidR="004374E0">
        <w:rPr>
          <w:rFonts w:ascii="Times New Roman" w:hAnsi="Times New Roman" w:cs="Times New Roman"/>
          <w:sz w:val="24"/>
          <w:szCs w:val="24"/>
        </w:rPr>
        <w:t>,</w:t>
      </w:r>
      <w:r w:rsidRPr="00C116A0">
        <w:rPr>
          <w:rFonts w:ascii="Times New Roman" w:hAnsi="Times New Roman" w:cs="Times New Roman"/>
          <w:sz w:val="24"/>
          <w:szCs w:val="24"/>
        </w:rPr>
        <w:t xml:space="preserve"> a su vez</w:t>
      </w:r>
      <w:r w:rsidR="004374E0">
        <w:rPr>
          <w:rFonts w:ascii="Times New Roman" w:hAnsi="Times New Roman" w:cs="Times New Roman"/>
          <w:sz w:val="24"/>
          <w:szCs w:val="24"/>
        </w:rPr>
        <w:t xml:space="preserve">, </w:t>
      </w:r>
      <w:r w:rsidRPr="00C116A0">
        <w:rPr>
          <w:rFonts w:ascii="Times New Roman" w:hAnsi="Times New Roman" w:cs="Times New Roman"/>
          <w:sz w:val="24"/>
          <w:szCs w:val="24"/>
        </w:rPr>
        <w:t>a este impuesto.</w:t>
      </w:r>
    </w:p>
    <w:p w14:paraId="1D6BB034" w14:textId="77777777" w:rsidR="00297252" w:rsidRPr="00C116A0" w:rsidRDefault="00297252" w:rsidP="004374E0">
      <w:pPr>
        <w:pStyle w:val="Prrafodelista"/>
        <w:spacing w:after="0" w:line="276" w:lineRule="auto"/>
        <w:ind w:left="77" w:right="-283"/>
        <w:jc w:val="both"/>
        <w:rPr>
          <w:rFonts w:ascii="Times New Roman" w:hAnsi="Times New Roman" w:cs="Times New Roman"/>
          <w:sz w:val="24"/>
          <w:szCs w:val="24"/>
        </w:rPr>
      </w:pPr>
    </w:p>
    <w:p w14:paraId="47537975" w14:textId="3FC2B122" w:rsidR="00297252" w:rsidRPr="00C116A0" w:rsidRDefault="00297252" w:rsidP="004374E0">
      <w:pPr>
        <w:pStyle w:val="Prrafodelista"/>
        <w:numPr>
          <w:ilvl w:val="0"/>
          <w:numId w:val="1"/>
        </w:numPr>
        <w:spacing w:after="0" w:line="276" w:lineRule="auto"/>
        <w:ind w:left="77" w:right="-283"/>
        <w:jc w:val="both"/>
        <w:rPr>
          <w:rFonts w:ascii="Times New Roman" w:hAnsi="Times New Roman" w:cs="Times New Roman"/>
          <w:sz w:val="24"/>
          <w:szCs w:val="24"/>
        </w:rPr>
      </w:pPr>
      <w:r w:rsidRPr="00C116A0">
        <w:rPr>
          <w:rFonts w:ascii="Times New Roman" w:hAnsi="Times New Roman" w:cs="Times New Roman"/>
          <w:sz w:val="24"/>
          <w:szCs w:val="24"/>
        </w:rPr>
        <w:t xml:space="preserve">Deberá considerarse la cuota que corresponda al contribuyente en el patrimonio indiviso de una comunidad hereditaria, con independencia del domicilio o residencia del causante y la ubicación de los bienes. </w:t>
      </w:r>
    </w:p>
    <w:p w14:paraId="68674AAE" w14:textId="77777777" w:rsidR="00297252" w:rsidRPr="00C116A0" w:rsidRDefault="00297252" w:rsidP="00915830">
      <w:pPr>
        <w:pStyle w:val="Prrafodelista"/>
        <w:spacing w:after="0"/>
        <w:jc w:val="both"/>
        <w:rPr>
          <w:rFonts w:ascii="Times New Roman" w:hAnsi="Times New Roman" w:cs="Times New Roman"/>
          <w:sz w:val="24"/>
          <w:szCs w:val="24"/>
        </w:rPr>
      </w:pPr>
    </w:p>
    <w:p w14:paraId="5DA8D27F" w14:textId="77777777" w:rsidR="00297252" w:rsidRPr="004374E0" w:rsidRDefault="00297252" w:rsidP="00F264AB">
      <w:pPr>
        <w:spacing w:after="0" w:line="276" w:lineRule="auto"/>
        <w:ind w:right="-283"/>
        <w:jc w:val="both"/>
        <w:rPr>
          <w:rFonts w:ascii="Times New Roman" w:hAnsi="Times New Roman" w:cs="Times New Roman"/>
          <w:sz w:val="24"/>
          <w:szCs w:val="24"/>
        </w:rPr>
      </w:pPr>
      <w:r w:rsidRPr="004374E0">
        <w:rPr>
          <w:rFonts w:ascii="Times New Roman" w:hAnsi="Times New Roman" w:cs="Times New Roman"/>
          <w:sz w:val="24"/>
          <w:szCs w:val="24"/>
        </w:rPr>
        <w:t xml:space="preserve">Adicionalmente, para determinar la base imponible, se deben considerar las siguientes </w:t>
      </w:r>
      <w:r w:rsidRPr="004374E0">
        <w:rPr>
          <w:rFonts w:ascii="Times New Roman" w:hAnsi="Times New Roman" w:cs="Times New Roman"/>
          <w:b/>
          <w:bCs/>
          <w:sz w:val="24"/>
          <w:szCs w:val="24"/>
        </w:rPr>
        <w:t>exclusiones</w:t>
      </w:r>
      <w:r w:rsidRPr="004374E0">
        <w:rPr>
          <w:rFonts w:ascii="Times New Roman" w:hAnsi="Times New Roman" w:cs="Times New Roman"/>
          <w:sz w:val="24"/>
          <w:szCs w:val="24"/>
        </w:rPr>
        <w:t>:</w:t>
      </w:r>
    </w:p>
    <w:p w14:paraId="30A03172" w14:textId="77777777" w:rsidR="00297252" w:rsidRPr="00C116A0" w:rsidRDefault="00297252" w:rsidP="00915830">
      <w:pPr>
        <w:spacing w:after="0" w:line="276" w:lineRule="auto"/>
        <w:jc w:val="both"/>
        <w:rPr>
          <w:rFonts w:ascii="Times New Roman" w:hAnsi="Times New Roman" w:cs="Times New Roman"/>
          <w:sz w:val="24"/>
          <w:szCs w:val="24"/>
          <w:u w:val="single"/>
        </w:rPr>
      </w:pPr>
    </w:p>
    <w:p w14:paraId="0C95BE0E" w14:textId="77777777" w:rsidR="00297252" w:rsidRPr="00C116A0" w:rsidRDefault="00297252" w:rsidP="00915830">
      <w:pPr>
        <w:pStyle w:val="Prrafodelista"/>
        <w:numPr>
          <w:ilvl w:val="0"/>
          <w:numId w:val="1"/>
        </w:numPr>
        <w:spacing w:after="0" w:line="276" w:lineRule="auto"/>
        <w:ind w:right="-283"/>
        <w:jc w:val="both"/>
        <w:rPr>
          <w:rFonts w:ascii="Times New Roman" w:hAnsi="Times New Roman" w:cs="Times New Roman"/>
          <w:sz w:val="24"/>
          <w:szCs w:val="24"/>
          <w:u w:val="single"/>
        </w:rPr>
      </w:pPr>
      <w:r w:rsidRPr="00C116A0">
        <w:rPr>
          <w:rFonts w:ascii="Times New Roman" w:hAnsi="Times New Roman" w:cs="Times New Roman"/>
          <w:sz w:val="24"/>
          <w:szCs w:val="24"/>
        </w:rPr>
        <w:t xml:space="preserve">Los saldos que mantenga el contribuyente en su cuenta de capitalización individual de cotizaciones obligatorias para pensiones y su cuenta individual de cesantía. </w:t>
      </w:r>
    </w:p>
    <w:p w14:paraId="67A8D82E" w14:textId="77777777" w:rsidR="00297252" w:rsidRPr="00C116A0" w:rsidRDefault="00297252" w:rsidP="00915830">
      <w:pPr>
        <w:pStyle w:val="Prrafodelista"/>
        <w:numPr>
          <w:ilvl w:val="0"/>
          <w:numId w:val="1"/>
        </w:numPr>
        <w:spacing w:after="0" w:line="276" w:lineRule="auto"/>
        <w:ind w:right="-283"/>
        <w:jc w:val="both"/>
        <w:rPr>
          <w:rFonts w:ascii="Times New Roman" w:hAnsi="Times New Roman" w:cs="Times New Roman"/>
          <w:sz w:val="24"/>
          <w:szCs w:val="24"/>
          <w:u w:val="single"/>
        </w:rPr>
      </w:pPr>
      <w:r w:rsidRPr="00C116A0">
        <w:rPr>
          <w:rFonts w:ascii="Times New Roman" w:hAnsi="Times New Roman" w:cs="Times New Roman"/>
          <w:sz w:val="24"/>
          <w:szCs w:val="24"/>
        </w:rPr>
        <w:t xml:space="preserve">Aquellos activos que el contribuyente haya adquirido por sucesión por causa de muerte. </w:t>
      </w:r>
    </w:p>
    <w:p w14:paraId="537A4649" w14:textId="77777777" w:rsidR="00297252" w:rsidRPr="00C116A0" w:rsidRDefault="00297252" w:rsidP="00915830">
      <w:pPr>
        <w:pStyle w:val="Prrafodelista"/>
        <w:numPr>
          <w:ilvl w:val="0"/>
          <w:numId w:val="1"/>
        </w:numPr>
        <w:spacing w:after="0" w:line="276" w:lineRule="auto"/>
        <w:ind w:right="-283"/>
        <w:jc w:val="both"/>
        <w:rPr>
          <w:rFonts w:ascii="Times New Roman" w:hAnsi="Times New Roman" w:cs="Times New Roman"/>
          <w:sz w:val="24"/>
          <w:szCs w:val="24"/>
          <w:u w:val="single"/>
        </w:rPr>
      </w:pPr>
      <w:r w:rsidRPr="00C116A0">
        <w:rPr>
          <w:rFonts w:ascii="Times New Roman" w:hAnsi="Times New Roman" w:cs="Times New Roman"/>
          <w:sz w:val="24"/>
          <w:szCs w:val="24"/>
        </w:rPr>
        <w:t>Los activos que hayan sido adquiridos en razón de una o más donaciones.</w:t>
      </w:r>
    </w:p>
    <w:p w14:paraId="14E735BD" w14:textId="77777777" w:rsidR="00297252" w:rsidRPr="00C116A0" w:rsidRDefault="00297252" w:rsidP="00915830">
      <w:pPr>
        <w:spacing w:after="0" w:line="276" w:lineRule="auto"/>
        <w:ind w:left="360"/>
        <w:jc w:val="both"/>
        <w:rPr>
          <w:rFonts w:ascii="Times New Roman" w:hAnsi="Times New Roman" w:cs="Times New Roman"/>
          <w:sz w:val="24"/>
          <w:szCs w:val="24"/>
        </w:rPr>
      </w:pPr>
    </w:p>
    <w:p w14:paraId="050557A0" w14:textId="77777777" w:rsidR="00297252" w:rsidRPr="00C116A0" w:rsidRDefault="00297252" w:rsidP="00F264AB">
      <w:pPr>
        <w:spacing w:after="0" w:line="276" w:lineRule="auto"/>
        <w:ind w:right="-283"/>
        <w:jc w:val="both"/>
        <w:rPr>
          <w:rFonts w:ascii="Times New Roman" w:hAnsi="Times New Roman" w:cs="Times New Roman"/>
          <w:sz w:val="24"/>
          <w:szCs w:val="24"/>
        </w:rPr>
      </w:pPr>
      <w:r w:rsidRPr="00C116A0">
        <w:rPr>
          <w:rFonts w:ascii="Times New Roman" w:hAnsi="Times New Roman" w:cs="Times New Roman"/>
          <w:sz w:val="24"/>
          <w:szCs w:val="24"/>
        </w:rPr>
        <w:t xml:space="preserve">En estos últimos dos casos, aplicará la exclusión siempre que la respectiva asignación hereditaria o donación se haya sujetado a las normas e impuestos de la Ley 16.271, sobre Impuesto a las Herencias, Asignaciones y Donaciones correspondientes, aplicando esta exclusión solo en el ejercicio comercial en el que haya declarado y pagado íntegramente el impuesto respectivo, o haya obtenido un certificado de exención, debiendo incorporarse en la base imponible en los ejercicios siguientes. </w:t>
      </w:r>
    </w:p>
    <w:p w14:paraId="38FF3EF0" w14:textId="77777777" w:rsidR="00297252" w:rsidRPr="00C116A0" w:rsidRDefault="00297252" w:rsidP="00F264AB">
      <w:pPr>
        <w:spacing w:after="0" w:line="276" w:lineRule="auto"/>
        <w:ind w:left="283"/>
        <w:jc w:val="both"/>
        <w:rPr>
          <w:rFonts w:ascii="Times New Roman" w:hAnsi="Times New Roman" w:cs="Times New Roman"/>
          <w:sz w:val="24"/>
          <w:szCs w:val="24"/>
        </w:rPr>
      </w:pPr>
    </w:p>
    <w:p w14:paraId="381BFACD" w14:textId="4FA2C669" w:rsidR="004374E0" w:rsidRDefault="00297252" w:rsidP="004374E0">
      <w:pPr>
        <w:pStyle w:val="Prrafodelista"/>
        <w:numPr>
          <w:ilvl w:val="0"/>
          <w:numId w:val="4"/>
        </w:numPr>
        <w:spacing w:after="0" w:line="276" w:lineRule="auto"/>
        <w:ind w:right="-283"/>
        <w:jc w:val="both"/>
        <w:rPr>
          <w:rFonts w:ascii="Times New Roman" w:hAnsi="Times New Roman" w:cs="Times New Roman"/>
          <w:b/>
          <w:bCs/>
          <w:sz w:val="24"/>
          <w:szCs w:val="24"/>
        </w:rPr>
      </w:pPr>
      <w:r w:rsidRPr="00C116A0">
        <w:rPr>
          <w:rFonts w:ascii="Times New Roman" w:hAnsi="Times New Roman" w:cs="Times New Roman"/>
          <w:b/>
          <w:bCs/>
          <w:sz w:val="24"/>
          <w:szCs w:val="24"/>
        </w:rPr>
        <w:t xml:space="preserve">Valorización de activos y pasivos. </w:t>
      </w:r>
    </w:p>
    <w:p w14:paraId="32A28F86" w14:textId="77777777" w:rsidR="00F264AB" w:rsidRDefault="00F264AB" w:rsidP="00F264AB">
      <w:pPr>
        <w:pStyle w:val="Prrafodelista"/>
        <w:spacing w:after="0" w:line="276" w:lineRule="auto"/>
        <w:ind w:left="360" w:right="-283"/>
        <w:jc w:val="both"/>
        <w:rPr>
          <w:rFonts w:ascii="Times New Roman" w:hAnsi="Times New Roman" w:cs="Times New Roman"/>
          <w:b/>
          <w:bCs/>
          <w:sz w:val="24"/>
          <w:szCs w:val="24"/>
        </w:rPr>
      </w:pPr>
    </w:p>
    <w:p w14:paraId="342E09BE" w14:textId="580F8382" w:rsidR="003D591D" w:rsidRPr="00F264AB" w:rsidRDefault="00297252" w:rsidP="00F264AB">
      <w:pPr>
        <w:pStyle w:val="Prrafodelista"/>
        <w:numPr>
          <w:ilvl w:val="1"/>
          <w:numId w:val="4"/>
        </w:numPr>
        <w:spacing w:after="0" w:line="276" w:lineRule="auto"/>
        <w:ind w:right="-283"/>
        <w:jc w:val="both"/>
        <w:rPr>
          <w:rFonts w:ascii="Times New Roman" w:hAnsi="Times New Roman" w:cs="Times New Roman"/>
          <w:b/>
          <w:bCs/>
          <w:sz w:val="24"/>
          <w:szCs w:val="24"/>
        </w:rPr>
      </w:pPr>
      <w:r w:rsidRPr="00F264AB">
        <w:rPr>
          <w:rFonts w:ascii="Times New Roman" w:hAnsi="Times New Roman" w:cs="Times New Roman"/>
          <w:b/>
          <w:bCs/>
          <w:sz w:val="24"/>
          <w:szCs w:val="24"/>
          <w:u w:val="single"/>
        </w:rPr>
        <w:t>Activos:</w:t>
      </w:r>
      <w:r w:rsidRPr="00F264AB">
        <w:rPr>
          <w:rFonts w:ascii="Times New Roman" w:hAnsi="Times New Roman" w:cs="Times New Roman"/>
          <w:b/>
          <w:bCs/>
          <w:sz w:val="24"/>
          <w:szCs w:val="24"/>
        </w:rPr>
        <w:t xml:space="preserve"> </w:t>
      </w:r>
      <w:r w:rsidR="004374E0" w:rsidRPr="00F264AB">
        <w:rPr>
          <w:rFonts w:ascii="Times New Roman" w:hAnsi="Times New Roman" w:cs="Times New Roman"/>
          <w:sz w:val="24"/>
          <w:szCs w:val="24"/>
        </w:rPr>
        <w:t>L</w:t>
      </w:r>
      <w:r w:rsidRPr="00F264AB">
        <w:rPr>
          <w:rFonts w:ascii="Times New Roman" w:hAnsi="Times New Roman" w:cs="Times New Roman"/>
          <w:sz w:val="24"/>
          <w:szCs w:val="24"/>
        </w:rPr>
        <w:t xml:space="preserve">os activos y pasivos que conforman el patrimonio total del contribuyente deben ser valorizados de acuerdo al método más adecuado para reflejar fehacientemente su </w:t>
      </w:r>
      <w:r w:rsidRPr="00F264AB">
        <w:rPr>
          <w:rFonts w:ascii="Times New Roman" w:hAnsi="Times New Roman" w:cs="Times New Roman"/>
          <w:b/>
          <w:bCs/>
          <w:sz w:val="24"/>
          <w:szCs w:val="24"/>
        </w:rPr>
        <w:t>valor económico</w:t>
      </w:r>
      <w:r w:rsidRPr="00F264AB">
        <w:rPr>
          <w:rFonts w:ascii="Times New Roman" w:hAnsi="Times New Roman" w:cs="Times New Roman"/>
          <w:sz w:val="24"/>
          <w:szCs w:val="24"/>
        </w:rPr>
        <w:t>, entendiendo por este el valor de un activo o pasivo que habría acordado u obtenido por partes no relacionadas</w:t>
      </w:r>
      <w:r w:rsidR="004374E0" w:rsidRPr="00F264AB">
        <w:rPr>
          <w:rFonts w:ascii="Times New Roman" w:hAnsi="Times New Roman" w:cs="Times New Roman"/>
          <w:sz w:val="24"/>
          <w:szCs w:val="24"/>
        </w:rPr>
        <w:t>,</w:t>
      </w:r>
      <w:r w:rsidRPr="00F264AB">
        <w:rPr>
          <w:rFonts w:ascii="Times New Roman" w:hAnsi="Times New Roman" w:cs="Times New Roman"/>
          <w:sz w:val="24"/>
          <w:szCs w:val="24"/>
        </w:rPr>
        <w:t xml:space="preserve"> considerando distintos elementos y factores. </w:t>
      </w:r>
      <w:r w:rsidR="00F264AB" w:rsidRPr="00F264AB">
        <w:rPr>
          <w:rFonts w:ascii="Times New Roman" w:hAnsi="Times New Roman" w:cs="Times New Roman"/>
          <w:sz w:val="24"/>
          <w:szCs w:val="24"/>
        </w:rPr>
        <w:t xml:space="preserve"> </w:t>
      </w:r>
      <w:r w:rsidR="00C116A0" w:rsidRPr="00F264AB">
        <w:rPr>
          <w:rFonts w:ascii="Times New Roman" w:hAnsi="Times New Roman" w:cs="Times New Roman"/>
          <w:sz w:val="24"/>
          <w:szCs w:val="24"/>
        </w:rPr>
        <w:t xml:space="preserve">Cuando corresponda, el valor económico de los activos debe convertirse a monda nacional, según el tipo de cambio informado para la respectiva moneda extranjera por el Banco Central en los términos expuestos en el proyecto de ley. </w:t>
      </w:r>
    </w:p>
    <w:p w14:paraId="42E83BD8" w14:textId="77777777" w:rsidR="003D591D" w:rsidRDefault="003D591D" w:rsidP="00F264AB">
      <w:pPr>
        <w:spacing w:after="0" w:line="276" w:lineRule="auto"/>
        <w:ind w:right="283"/>
        <w:jc w:val="both"/>
        <w:rPr>
          <w:rFonts w:ascii="Times New Roman" w:hAnsi="Times New Roman" w:cs="Times New Roman"/>
          <w:sz w:val="24"/>
          <w:szCs w:val="24"/>
        </w:rPr>
      </w:pPr>
    </w:p>
    <w:p w14:paraId="63F25023" w14:textId="3C2403EB" w:rsidR="00DF1BD7" w:rsidRDefault="00297252" w:rsidP="00F264AB">
      <w:pPr>
        <w:spacing w:after="0" w:line="276" w:lineRule="auto"/>
        <w:ind w:left="792" w:right="-283"/>
        <w:jc w:val="both"/>
        <w:rPr>
          <w:rFonts w:ascii="Times New Roman" w:hAnsi="Times New Roman" w:cs="Times New Roman"/>
          <w:sz w:val="24"/>
          <w:szCs w:val="24"/>
        </w:rPr>
      </w:pPr>
      <w:r w:rsidRPr="00C116A0">
        <w:rPr>
          <w:rFonts w:ascii="Times New Roman" w:hAnsi="Times New Roman" w:cs="Times New Roman"/>
          <w:sz w:val="24"/>
          <w:szCs w:val="24"/>
        </w:rPr>
        <w:t xml:space="preserve">El método </w:t>
      </w:r>
      <w:r w:rsidR="00E3213B">
        <w:rPr>
          <w:rFonts w:ascii="Times New Roman" w:hAnsi="Times New Roman" w:cs="Times New Roman"/>
          <w:sz w:val="24"/>
          <w:szCs w:val="24"/>
        </w:rPr>
        <w:t>de</w:t>
      </w:r>
      <w:r w:rsidRPr="00C116A0">
        <w:rPr>
          <w:rFonts w:ascii="Times New Roman" w:hAnsi="Times New Roman" w:cs="Times New Roman"/>
          <w:sz w:val="24"/>
          <w:szCs w:val="24"/>
        </w:rPr>
        <w:t xml:space="preserve"> valoriza</w:t>
      </w:r>
      <w:r w:rsidR="00E3213B">
        <w:rPr>
          <w:rFonts w:ascii="Times New Roman" w:hAnsi="Times New Roman" w:cs="Times New Roman"/>
          <w:sz w:val="24"/>
          <w:szCs w:val="24"/>
        </w:rPr>
        <w:t xml:space="preserve">ción </w:t>
      </w:r>
      <w:r w:rsidRPr="00C116A0">
        <w:rPr>
          <w:rFonts w:ascii="Times New Roman" w:hAnsi="Times New Roman" w:cs="Times New Roman"/>
          <w:sz w:val="24"/>
          <w:szCs w:val="24"/>
        </w:rPr>
        <w:t xml:space="preserve">depende del tipo de activo o pasivo que se trate, </w:t>
      </w:r>
      <w:r w:rsidR="00B006DA" w:rsidRPr="00C116A0">
        <w:rPr>
          <w:rFonts w:ascii="Times New Roman" w:hAnsi="Times New Roman" w:cs="Times New Roman"/>
          <w:sz w:val="24"/>
          <w:szCs w:val="24"/>
        </w:rPr>
        <w:t xml:space="preserve">lo cual </w:t>
      </w:r>
      <w:r w:rsidR="00E3213B">
        <w:rPr>
          <w:rFonts w:ascii="Times New Roman" w:hAnsi="Times New Roman" w:cs="Times New Roman"/>
          <w:sz w:val="24"/>
          <w:szCs w:val="24"/>
        </w:rPr>
        <w:t xml:space="preserve">se </w:t>
      </w:r>
      <w:r w:rsidR="00B006DA" w:rsidRPr="00C116A0">
        <w:rPr>
          <w:rFonts w:ascii="Times New Roman" w:hAnsi="Times New Roman" w:cs="Times New Roman"/>
          <w:sz w:val="24"/>
          <w:szCs w:val="24"/>
        </w:rPr>
        <w:t>detalla</w:t>
      </w:r>
      <w:r w:rsidR="00E3213B">
        <w:rPr>
          <w:rFonts w:ascii="Times New Roman" w:hAnsi="Times New Roman" w:cs="Times New Roman"/>
          <w:sz w:val="24"/>
          <w:szCs w:val="24"/>
        </w:rPr>
        <w:t xml:space="preserve"> en Anexo al final de esta minuta</w:t>
      </w:r>
      <w:r w:rsidR="00B006DA" w:rsidRPr="00C116A0">
        <w:rPr>
          <w:rFonts w:ascii="Times New Roman" w:hAnsi="Times New Roman" w:cs="Times New Roman"/>
          <w:sz w:val="24"/>
          <w:szCs w:val="24"/>
        </w:rPr>
        <w:t xml:space="preserve">. </w:t>
      </w:r>
    </w:p>
    <w:p w14:paraId="2E7730B2" w14:textId="77777777" w:rsidR="00915830" w:rsidRPr="00C116A0" w:rsidRDefault="00915830" w:rsidP="00915830">
      <w:pPr>
        <w:spacing w:after="0" w:line="276" w:lineRule="auto"/>
        <w:ind w:left="-283" w:right="-283"/>
        <w:jc w:val="both"/>
        <w:rPr>
          <w:rFonts w:ascii="Times New Roman" w:hAnsi="Times New Roman" w:cs="Times New Roman"/>
          <w:sz w:val="24"/>
          <w:szCs w:val="24"/>
        </w:rPr>
      </w:pPr>
    </w:p>
    <w:p w14:paraId="5DA2A8F8" w14:textId="77777777" w:rsidR="00907B0B" w:rsidRPr="006842D5" w:rsidRDefault="00907B0B" w:rsidP="00915830">
      <w:pPr>
        <w:spacing w:after="0"/>
        <w:jc w:val="both"/>
        <w:rPr>
          <w:rFonts w:ascii="Times New Roman" w:hAnsi="Times New Roman" w:cs="Times New Roman"/>
          <w:sz w:val="20"/>
          <w:szCs w:val="20"/>
        </w:rPr>
      </w:pPr>
    </w:p>
    <w:p w14:paraId="6359A9B8" w14:textId="326889DF" w:rsidR="00297252" w:rsidRPr="00F264AB" w:rsidRDefault="00297252" w:rsidP="00F264AB">
      <w:pPr>
        <w:pStyle w:val="Prrafodelista"/>
        <w:numPr>
          <w:ilvl w:val="1"/>
          <w:numId w:val="4"/>
        </w:numPr>
        <w:spacing w:after="0" w:line="276" w:lineRule="auto"/>
        <w:ind w:right="-283"/>
        <w:jc w:val="both"/>
        <w:rPr>
          <w:rFonts w:ascii="Times New Roman" w:hAnsi="Times New Roman" w:cs="Times New Roman"/>
          <w:sz w:val="24"/>
          <w:szCs w:val="24"/>
          <w:u w:val="single"/>
        </w:rPr>
      </w:pPr>
      <w:r w:rsidRPr="00F264AB">
        <w:rPr>
          <w:rFonts w:ascii="Times New Roman" w:hAnsi="Times New Roman" w:cs="Times New Roman"/>
          <w:b/>
          <w:bCs/>
          <w:sz w:val="24"/>
          <w:szCs w:val="24"/>
          <w:u w:val="single"/>
        </w:rPr>
        <w:lastRenderedPageBreak/>
        <w:t>Pasivos:</w:t>
      </w:r>
      <w:r w:rsidRPr="00F264AB">
        <w:rPr>
          <w:rFonts w:ascii="Times New Roman" w:hAnsi="Times New Roman" w:cs="Times New Roman"/>
          <w:b/>
          <w:bCs/>
          <w:sz w:val="24"/>
          <w:szCs w:val="24"/>
        </w:rPr>
        <w:t xml:space="preserve"> </w:t>
      </w:r>
      <w:r w:rsidR="00F264AB" w:rsidRPr="00F264AB">
        <w:rPr>
          <w:rFonts w:ascii="Times New Roman" w:hAnsi="Times New Roman" w:cs="Times New Roman"/>
          <w:b/>
          <w:bCs/>
          <w:sz w:val="24"/>
          <w:szCs w:val="24"/>
        </w:rPr>
        <w:t xml:space="preserve"> </w:t>
      </w:r>
      <w:r w:rsidRPr="00F264AB">
        <w:rPr>
          <w:rFonts w:ascii="Times New Roman" w:hAnsi="Times New Roman" w:cs="Times New Roman"/>
          <w:sz w:val="24"/>
          <w:szCs w:val="24"/>
        </w:rPr>
        <w:t xml:space="preserve">Respecto a los pasivos que pueden deducirse para efectos de la determinación de la base imponible, </w:t>
      </w:r>
      <w:r w:rsidR="00907B0B" w:rsidRPr="00F264AB">
        <w:rPr>
          <w:rFonts w:ascii="Times New Roman" w:hAnsi="Times New Roman" w:cs="Times New Roman"/>
          <w:sz w:val="24"/>
          <w:szCs w:val="24"/>
        </w:rPr>
        <w:t xml:space="preserve">el proyecto de ley </w:t>
      </w:r>
      <w:r w:rsidRPr="00F264AB">
        <w:rPr>
          <w:rFonts w:ascii="Times New Roman" w:hAnsi="Times New Roman" w:cs="Times New Roman"/>
          <w:sz w:val="24"/>
          <w:szCs w:val="24"/>
        </w:rPr>
        <w:t xml:space="preserve">permite deducir el </w:t>
      </w:r>
      <w:r w:rsidRPr="00F264AB">
        <w:rPr>
          <w:rFonts w:ascii="Times New Roman" w:hAnsi="Times New Roman" w:cs="Times New Roman"/>
          <w:b/>
          <w:bCs/>
          <w:sz w:val="24"/>
          <w:szCs w:val="24"/>
        </w:rPr>
        <w:t>saldo insoluto</w:t>
      </w:r>
      <w:r w:rsidRPr="00F264AB">
        <w:rPr>
          <w:rFonts w:ascii="Times New Roman" w:hAnsi="Times New Roman" w:cs="Times New Roman"/>
          <w:sz w:val="24"/>
          <w:szCs w:val="24"/>
        </w:rPr>
        <w:t xml:space="preserve"> de los pasivos al 31 de diciembre del ejercicio comercial respectivo, siempre que los pasivos hayan sido contratados con un banco o institución financiera, o en caso contrario, que no tengan como acreedor una parte relacionada del contribuyente, de acuerdo a las disposiciones del N° 17 del artículo 8° del Código Tributario, respecto del cual también se proponen modificaciones con ocasión del proyecto de ley de la reforma tributaria. </w:t>
      </w:r>
    </w:p>
    <w:p w14:paraId="01D0E40B" w14:textId="77777777" w:rsidR="00297252" w:rsidRPr="00C116A0" w:rsidRDefault="00297252" w:rsidP="00915830">
      <w:pPr>
        <w:spacing w:after="0" w:line="276" w:lineRule="auto"/>
        <w:ind w:left="-283" w:right="-283"/>
        <w:jc w:val="both"/>
        <w:rPr>
          <w:rFonts w:ascii="Times New Roman" w:hAnsi="Times New Roman" w:cs="Times New Roman"/>
          <w:sz w:val="24"/>
          <w:szCs w:val="24"/>
        </w:rPr>
      </w:pPr>
    </w:p>
    <w:p w14:paraId="45C93890" w14:textId="76DF52C2" w:rsidR="00297252" w:rsidRPr="00C116A0" w:rsidRDefault="00297252" w:rsidP="00F264AB">
      <w:pPr>
        <w:spacing w:after="0" w:line="276" w:lineRule="auto"/>
        <w:ind w:left="792" w:right="-283"/>
        <w:jc w:val="both"/>
        <w:rPr>
          <w:rFonts w:ascii="Times New Roman" w:hAnsi="Times New Roman" w:cs="Times New Roman"/>
          <w:sz w:val="24"/>
          <w:szCs w:val="24"/>
        </w:rPr>
      </w:pPr>
      <w:r w:rsidRPr="00C116A0">
        <w:rPr>
          <w:rFonts w:ascii="Times New Roman" w:hAnsi="Times New Roman" w:cs="Times New Roman"/>
          <w:sz w:val="24"/>
          <w:szCs w:val="24"/>
        </w:rPr>
        <w:t>Estos pasivos debe</w:t>
      </w:r>
      <w:r w:rsidR="00907B0B">
        <w:rPr>
          <w:rFonts w:ascii="Times New Roman" w:hAnsi="Times New Roman" w:cs="Times New Roman"/>
          <w:sz w:val="24"/>
          <w:szCs w:val="24"/>
        </w:rPr>
        <w:t>n</w:t>
      </w:r>
      <w:r w:rsidRPr="00C116A0">
        <w:rPr>
          <w:rFonts w:ascii="Times New Roman" w:hAnsi="Times New Roman" w:cs="Times New Roman"/>
          <w:sz w:val="24"/>
          <w:szCs w:val="24"/>
        </w:rPr>
        <w:t xml:space="preserve"> haber sido suscritos para financiar todo o parte de la adquisición de uno o más activos, o para la ampliación o reparación de los mismos, siempre que generen un incremento en el valor del activo y se mantenga la información de </w:t>
      </w:r>
      <w:r w:rsidR="00201B59" w:rsidRPr="00C116A0">
        <w:rPr>
          <w:rFonts w:ascii="Times New Roman" w:hAnsi="Times New Roman" w:cs="Times New Roman"/>
          <w:sz w:val="24"/>
          <w:szCs w:val="24"/>
        </w:rPr>
        <w:t xml:space="preserve">las mismas. </w:t>
      </w:r>
      <w:r w:rsidRPr="00C116A0">
        <w:rPr>
          <w:rFonts w:ascii="Times New Roman" w:hAnsi="Times New Roman" w:cs="Times New Roman"/>
          <w:sz w:val="24"/>
          <w:szCs w:val="24"/>
        </w:rPr>
        <w:t xml:space="preserve"> </w:t>
      </w:r>
    </w:p>
    <w:p w14:paraId="538BB97D" w14:textId="77777777" w:rsidR="00297252" w:rsidRPr="00C116A0" w:rsidRDefault="00297252" w:rsidP="00F264AB">
      <w:pPr>
        <w:spacing w:after="0" w:line="276" w:lineRule="auto"/>
        <w:ind w:left="792" w:right="-283"/>
        <w:jc w:val="both"/>
        <w:rPr>
          <w:rFonts w:ascii="Times New Roman" w:hAnsi="Times New Roman" w:cs="Times New Roman"/>
          <w:sz w:val="24"/>
          <w:szCs w:val="24"/>
        </w:rPr>
      </w:pPr>
    </w:p>
    <w:p w14:paraId="3257E4B3" w14:textId="7076C885" w:rsidR="00297252" w:rsidRPr="00C116A0" w:rsidRDefault="00297252" w:rsidP="00F264AB">
      <w:pPr>
        <w:spacing w:after="0" w:line="276" w:lineRule="auto"/>
        <w:ind w:right="-283"/>
        <w:jc w:val="both"/>
        <w:rPr>
          <w:rFonts w:ascii="Times New Roman" w:hAnsi="Times New Roman" w:cs="Times New Roman"/>
          <w:sz w:val="24"/>
          <w:szCs w:val="24"/>
        </w:rPr>
      </w:pPr>
      <w:r w:rsidRPr="00C116A0">
        <w:rPr>
          <w:rFonts w:ascii="Times New Roman" w:hAnsi="Times New Roman" w:cs="Times New Roman"/>
          <w:sz w:val="24"/>
          <w:szCs w:val="24"/>
        </w:rPr>
        <w:t xml:space="preserve">En caso de que exista otro método de valoración que permita obtener de mejor forma </w:t>
      </w:r>
      <w:r w:rsidR="00201B59" w:rsidRPr="00C116A0">
        <w:rPr>
          <w:rFonts w:ascii="Times New Roman" w:hAnsi="Times New Roman" w:cs="Times New Roman"/>
          <w:sz w:val="24"/>
          <w:szCs w:val="24"/>
        </w:rPr>
        <w:t>el</w:t>
      </w:r>
      <w:r w:rsidRPr="00C116A0">
        <w:rPr>
          <w:rFonts w:ascii="Times New Roman" w:hAnsi="Times New Roman" w:cs="Times New Roman"/>
          <w:sz w:val="24"/>
          <w:szCs w:val="24"/>
        </w:rPr>
        <w:t xml:space="preserve"> valor económico</w:t>
      </w:r>
      <w:r w:rsidR="00201B59" w:rsidRPr="00C116A0">
        <w:rPr>
          <w:rFonts w:ascii="Times New Roman" w:hAnsi="Times New Roman" w:cs="Times New Roman"/>
          <w:sz w:val="24"/>
          <w:szCs w:val="24"/>
        </w:rPr>
        <w:t xml:space="preserve"> de un activo o pasivo</w:t>
      </w:r>
      <w:r w:rsidRPr="00C116A0">
        <w:rPr>
          <w:rFonts w:ascii="Times New Roman" w:hAnsi="Times New Roman" w:cs="Times New Roman"/>
          <w:sz w:val="24"/>
          <w:szCs w:val="24"/>
        </w:rPr>
        <w:t xml:space="preserve">, podrá aplicarlo siempre que pueda acreditar fehacientemente que el método utilizado es el más adecuado para los fines establecidos. Sin perjuicio de la aplicación de los métodos correspondientes o presentación de informes a que se </w:t>
      </w:r>
      <w:r w:rsidR="00907B0B" w:rsidRPr="00C116A0">
        <w:rPr>
          <w:rFonts w:ascii="Times New Roman" w:hAnsi="Times New Roman" w:cs="Times New Roman"/>
          <w:sz w:val="24"/>
          <w:szCs w:val="24"/>
        </w:rPr>
        <w:t>dé</w:t>
      </w:r>
      <w:r w:rsidRPr="00C116A0">
        <w:rPr>
          <w:rFonts w:ascii="Times New Roman" w:hAnsi="Times New Roman" w:cs="Times New Roman"/>
          <w:sz w:val="24"/>
          <w:szCs w:val="24"/>
        </w:rPr>
        <w:t xml:space="preserve"> lugar, el contribuyente deberá mantener a disposición del SII la totalidad de antecedentes en virtud de los cuales haya aplicado tales métodos o elaborado dichos informes. </w:t>
      </w:r>
    </w:p>
    <w:p w14:paraId="70ED7D44" w14:textId="77777777" w:rsidR="00297252" w:rsidRPr="00C116A0" w:rsidRDefault="00297252" w:rsidP="00915830">
      <w:pPr>
        <w:spacing w:after="0" w:line="276" w:lineRule="auto"/>
        <w:jc w:val="both"/>
        <w:rPr>
          <w:rFonts w:ascii="Times New Roman" w:hAnsi="Times New Roman" w:cs="Times New Roman"/>
          <w:sz w:val="24"/>
          <w:szCs w:val="24"/>
        </w:rPr>
      </w:pPr>
    </w:p>
    <w:p w14:paraId="61EB9C87" w14:textId="40A551FD" w:rsidR="00297252" w:rsidRPr="00DF1BD7" w:rsidRDefault="00297252" w:rsidP="001F71E9">
      <w:pPr>
        <w:pStyle w:val="Prrafodelista"/>
        <w:numPr>
          <w:ilvl w:val="0"/>
          <w:numId w:val="4"/>
        </w:numPr>
        <w:spacing w:after="0" w:line="276" w:lineRule="auto"/>
        <w:ind w:right="-283"/>
        <w:jc w:val="both"/>
        <w:rPr>
          <w:rFonts w:ascii="Times New Roman" w:hAnsi="Times New Roman" w:cs="Times New Roman"/>
          <w:b/>
          <w:bCs/>
          <w:sz w:val="24"/>
          <w:szCs w:val="24"/>
        </w:rPr>
      </w:pPr>
      <w:r w:rsidRPr="00DF1BD7">
        <w:rPr>
          <w:rFonts w:ascii="Times New Roman" w:hAnsi="Times New Roman" w:cs="Times New Roman"/>
          <w:b/>
          <w:bCs/>
          <w:sz w:val="24"/>
          <w:szCs w:val="24"/>
        </w:rPr>
        <w:t>Facultades del SII</w:t>
      </w:r>
      <w:r w:rsidR="001F71E9">
        <w:rPr>
          <w:rFonts w:ascii="Times New Roman" w:hAnsi="Times New Roman" w:cs="Times New Roman"/>
          <w:b/>
          <w:bCs/>
          <w:sz w:val="24"/>
          <w:szCs w:val="24"/>
        </w:rPr>
        <w:t>.</w:t>
      </w:r>
    </w:p>
    <w:p w14:paraId="26E0C694" w14:textId="77777777" w:rsidR="00297252" w:rsidRPr="00DF1BD7" w:rsidRDefault="00297252" w:rsidP="00915830">
      <w:pPr>
        <w:spacing w:after="0" w:line="276" w:lineRule="auto"/>
        <w:jc w:val="both"/>
        <w:rPr>
          <w:rFonts w:ascii="Times New Roman" w:hAnsi="Times New Roman" w:cs="Times New Roman"/>
          <w:sz w:val="24"/>
          <w:szCs w:val="24"/>
        </w:rPr>
      </w:pPr>
    </w:p>
    <w:p w14:paraId="5A384802" w14:textId="0E24B6F6" w:rsidR="00297252" w:rsidRPr="00C116A0" w:rsidRDefault="00297252" w:rsidP="001F71E9">
      <w:pPr>
        <w:spacing w:after="0" w:line="276" w:lineRule="auto"/>
        <w:ind w:right="-283"/>
        <w:jc w:val="both"/>
        <w:rPr>
          <w:rFonts w:ascii="Times New Roman" w:hAnsi="Times New Roman" w:cs="Times New Roman"/>
          <w:sz w:val="24"/>
          <w:szCs w:val="24"/>
        </w:rPr>
      </w:pPr>
      <w:r w:rsidRPr="00DF1BD7">
        <w:rPr>
          <w:rFonts w:ascii="Times New Roman" w:hAnsi="Times New Roman" w:cs="Times New Roman"/>
          <w:sz w:val="24"/>
          <w:szCs w:val="24"/>
        </w:rPr>
        <w:t>El SII, en uso de sus facultades, podrá impugnar el método utilizado por el contribuyente para valorizar uno o más activos o pasivos, cuando no sea el más adecuado para determinar su valor económico, debiendo el SII establecer el método más adecuado según la naturaleza y características del activo o pasivo de que se trate y en atención a las mismas reglas establecidas en la ley. Luego, en caso de haber diferencias, se practicará una liquidación de impuestos con los intereses y multas que correspondan por las diferencias generadas.</w:t>
      </w:r>
      <w:r w:rsidRPr="00C116A0">
        <w:rPr>
          <w:rFonts w:ascii="Times New Roman" w:hAnsi="Times New Roman" w:cs="Times New Roman"/>
          <w:sz w:val="24"/>
          <w:szCs w:val="24"/>
        </w:rPr>
        <w:t xml:space="preserve"> </w:t>
      </w:r>
    </w:p>
    <w:p w14:paraId="318BBE94" w14:textId="77777777" w:rsidR="00201B59" w:rsidRPr="00C116A0" w:rsidRDefault="00201B59" w:rsidP="00915830">
      <w:pPr>
        <w:spacing w:after="0" w:line="276" w:lineRule="auto"/>
        <w:jc w:val="both"/>
        <w:rPr>
          <w:rFonts w:ascii="Times New Roman" w:hAnsi="Times New Roman" w:cs="Times New Roman"/>
          <w:sz w:val="24"/>
          <w:szCs w:val="24"/>
        </w:rPr>
      </w:pPr>
    </w:p>
    <w:p w14:paraId="3C2F5F6D" w14:textId="77777777" w:rsidR="00297252" w:rsidRPr="00C116A0" w:rsidRDefault="00297252" w:rsidP="001F71E9">
      <w:pPr>
        <w:pStyle w:val="Prrafodelista"/>
        <w:numPr>
          <w:ilvl w:val="0"/>
          <w:numId w:val="4"/>
        </w:numPr>
        <w:spacing w:after="0" w:line="276" w:lineRule="auto"/>
        <w:ind w:right="-283"/>
        <w:jc w:val="both"/>
        <w:rPr>
          <w:rFonts w:ascii="Times New Roman" w:hAnsi="Times New Roman" w:cs="Times New Roman"/>
          <w:b/>
          <w:bCs/>
          <w:sz w:val="24"/>
          <w:szCs w:val="24"/>
        </w:rPr>
      </w:pPr>
      <w:r w:rsidRPr="00C116A0">
        <w:rPr>
          <w:rFonts w:ascii="Times New Roman" w:hAnsi="Times New Roman" w:cs="Times New Roman"/>
          <w:b/>
          <w:bCs/>
          <w:sz w:val="24"/>
          <w:szCs w:val="24"/>
        </w:rPr>
        <w:t xml:space="preserve">Crédito por impuestos pagados. </w:t>
      </w:r>
    </w:p>
    <w:p w14:paraId="006CA541" w14:textId="77777777" w:rsidR="00297252" w:rsidRPr="00C116A0" w:rsidRDefault="00297252" w:rsidP="00915830">
      <w:pPr>
        <w:spacing w:after="0" w:line="276" w:lineRule="auto"/>
        <w:ind w:firstLine="708"/>
        <w:jc w:val="both"/>
        <w:rPr>
          <w:rFonts w:ascii="Times New Roman" w:hAnsi="Times New Roman" w:cs="Times New Roman"/>
          <w:b/>
          <w:bCs/>
          <w:sz w:val="24"/>
          <w:szCs w:val="24"/>
        </w:rPr>
      </w:pPr>
    </w:p>
    <w:p w14:paraId="630C5B1E" w14:textId="77777777" w:rsidR="00297252" w:rsidRPr="00C116A0" w:rsidRDefault="00297252" w:rsidP="001F71E9">
      <w:pPr>
        <w:spacing w:after="0" w:line="276" w:lineRule="auto"/>
        <w:ind w:right="-283"/>
        <w:jc w:val="both"/>
        <w:rPr>
          <w:rFonts w:ascii="Times New Roman" w:hAnsi="Times New Roman" w:cs="Times New Roman"/>
          <w:sz w:val="24"/>
          <w:szCs w:val="24"/>
        </w:rPr>
      </w:pPr>
      <w:r w:rsidRPr="00C116A0">
        <w:rPr>
          <w:rFonts w:ascii="Times New Roman" w:hAnsi="Times New Roman" w:cs="Times New Roman"/>
          <w:sz w:val="24"/>
          <w:szCs w:val="24"/>
        </w:rPr>
        <w:t>Se establece que el contribuyente tendrá derecho a utilizar un crédito por los impuestos soportados directamente o que le correspondan en virtud de su propiedad directa o indirecta de empresas u otras entidades, en proporción a su participación en el capital. Se podrán usar como crédito, los siguientes impuestos:</w:t>
      </w:r>
    </w:p>
    <w:p w14:paraId="6C108A0E" w14:textId="77777777" w:rsidR="00297252" w:rsidRPr="00C116A0" w:rsidRDefault="00297252" w:rsidP="00915830">
      <w:pPr>
        <w:spacing w:after="0" w:line="276" w:lineRule="auto"/>
        <w:jc w:val="both"/>
        <w:rPr>
          <w:rFonts w:ascii="Times New Roman" w:hAnsi="Times New Roman" w:cs="Times New Roman"/>
          <w:sz w:val="24"/>
          <w:szCs w:val="24"/>
        </w:rPr>
      </w:pPr>
    </w:p>
    <w:p w14:paraId="518D1F90" w14:textId="128C79C5" w:rsidR="00297252" w:rsidRPr="00C116A0" w:rsidRDefault="00297252" w:rsidP="001F71E9">
      <w:pPr>
        <w:pStyle w:val="Prrafodelista"/>
        <w:numPr>
          <w:ilvl w:val="0"/>
          <w:numId w:val="5"/>
        </w:numPr>
        <w:spacing w:after="0" w:line="276" w:lineRule="auto"/>
        <w:jc w:val="both"/>
        <w:rPr>
          <w:rFonts w:ascii="Times New Roman" w:hAnsi="Times New Roman" w:cs="Times New Roman"/>
          <w:sz w:val="24"/>
          <w:szCs w:val="24"/>
        </w:rPr>
      </w:pPr>
      <w:r w:rsidRPr="00C116A0">
        <w:rPr>
          <w:rFonts w:ascii="Times New Roman" w:hAnsi="Times New Roman" w:cs="Times New Roman"/>
          <w:sz w:val="24"/>
          <w:szCs w:val="24"/>
        </w:rPr>
        <w:t>El impuesto territorial</w:t>
      </w:r>
      <w:r w:rsidR="001F71E9">
        <w:rPr>
          <w:rFonts w:ascii="Times New Roman" w:hAnsi="Times New Roman" w:cs="Times New Roman"/>
          <w:sz w:val="24"/>
          <w:szCs w:val="24"/>
        </w:rPr>
        <w:t>;</w:t>
      </w:r>
    </w:p>
    <w:p w14:paraId="2E00C77B" w14:textId="25EDC67B" w:rsidR="00297252" w:rsidRPr="00C116A0" w:rsidRDefault="00297252" w:rsidP="001F71E9">
      <w:pPr>
        <w:pStyle w:val="Prrafodelista"/>
        <w:numPr>
          <w:ilvl w:val="0"/>
          <w:numId w:val="5"/>
        </w:numPr>
        <w:spacing w:after="0" w:line="276" w:lineRule="auto"/>
        <w:jc w:val="both"/>
        <w:rPr>
          <w:rFonts w:ascii="Times New Roman" w:hAnsi="Times New Roman" w:cs="Times New Roman"/>
          <w:sz w:val="24"/>
          <w:szCs w:val="24"/>
        </w:rPr>
      </w:pPr>
      <w:r w:rsidRPr="00C116A0">
        <w:rPr>
          <w:rFonts w:ascii="Times New Roman" w:hAnsi="Times New Roman" w:cs="Times New Roman"/>
          <w:sz w:val="24"/>
          <w:szCs w:val="24"/>
        </w:rPr>
        <w:t>La sobretasa de impuesto territorial</w:t>
      </w:r>
      <w:r w:rsidR="001F71E9">
        <w:rPr>
          <w:rFonts w:ascii="Times New Roman" w:hAnsi="Times New Roman" w:cs="Times New Roman"/>
          <w:sz w:val="24"/>
          <w:szCs w:val="24"/>
        </w:rPr>
        <w:t>;</w:t>
      </w:r>
    </w:p>
    <w:p w14:paraId="6615FA46" w14:textId="4F84EF1B" w:rsidR="00F6515B" w:rsidRPr="00C05718" w:rsidRDefault="00297252" w:rsidP="00915830">
      <w:pPr>
        <w:pStyle w:val="Prrafodelista"/>
        <w:numPr>
          <w:ilvl w:val="0"/>
          <w:numId w:val="5"/>
        </w:numPr>
        <w:spacing w:after="0" w:line="276" w:lineRule="auto"/>
        <w:jc w:val="both"/>
        <w:rPr>
          <w:rFonts w:ascii="Times New Roman" w:hAnsi="Times New Roman" w:cs="Times New Roman"/>
          <w:sz w:val="24"/>
          <w:szCs w:val="24"/>
        </w:rPr>
      </w:pPr>
      <w:r w:rsidRPr="00C116A0">
        <w:rPr>
          <w:rFonts w:ascii="Times New Roman" w:hAnsi="Times New Roman" w:cs="Times New Roman"/>
          <w:sz w:val="24"/>
          <w:szCs w:val="24"/>
        </w:rPr>
        <w:t>La tasa al diferimiento de impuestos personales</w:t>
      </w:r>
      <w:r w:rsidR="001F71E9">
        <w:rPr>
          <w:rFonts w:ascii="Times New Roman" w:hAnsi="Times New Roman" w:cs="Times New Roman"/>
          <w:sz w:val="24"/>
          <w:szCs w:val="24"/>
        </w:rPr>
        <w:t>.</w:t>
      </w:r>
    </w:p>
    <w:p w14:paraId="63F4D622" w14:textId="32445EEA" w:rsidR="00F6515B" w:rsidRDefault="00F6515B" w:rsidP="001F71E9">
      <w:pPr>
        <w:pStyle w:val="Prrafodelista"/>
        <w:numPr>
          <w:ilvl w:val="0"/>
          <w:numId w:val="4"/>
        </w:numPr>
        <w:spacing w:after="0" w:line="276" w:lineRule="auto"/>
        <w:ind w:right="-283"/>
        <w:jc w:val="both"/>
        <w:rPr>
          <w:rFonts w:ascii="Times New Roman" w:hAnsi="Times New Roman" w:cs="Times New Roman"/>
          <w:b/>
          <w:bCs/>
          <w:sz w:val="24"/>
          <w:szCs w:val="24"/>
        </w:rPr>
      </w:pPr>
      <w:r w:rsidRPr="00F6515B">
        <w:rPr>
          <w:rFonts w:ascii="Times New Roman" w:hAnsi="Times New Roman" w:cs="Times New Roman"/>
          <w:b/>
          <w:bCs/>
          <w:sz w:val="24"/>
          <w:szCs w:val="24"/>
        </w:rPr>
        <w:lastRenderedPageBreak/>
        <w:t xml:space="preserve">Carga </w:t>
      </w:r>
      <w:r w:rsidR="00F50B86">
        <w:rPr>
          <w:rFonts w:ascii="Times New Roman" w:hAnsi="Times New Roman" w:cs="Times New Roman"/>
          <w:b/>
          <w:bCs/>
          <w:sz w:val="24"/>
          <w:szCs w:val="24"/>
        </w:rPr>
        <w:t>t</w:t>
      </w:r>
      <w:r w:rsidRPr="00F6515B">
        <w:rPr>
          <w:rFonts w:ascii="Times New Roman" w:hAnsi="Times New Roman" w:cs="Times New Roman"/>
          <w:b/>
          <w:bCs/>
          <w:sz w:val="24"/>
          <w:szCs w:val="24"/>
        </w:rPr>
        <w:t>ributaria máxima</w:t>
      </w:r>
      <w:r w:rsidR="00F50B86">
        <w:rPr>
          <w:rFonts w:ascii="Times New Roman" w:hAnsi="Times New Roman" w:cs="Times New Roman"/>
          <w:b/>
          <w:bCs/>
          <w:sz w:val="24"/>
          <w:szCs w:val="24"/>
        </w:rPr>
        <w:t>.</w:t>
      </w:r>
    </w:p>
    <w:p w14:paraId="5767910B" w14:textId="3B343D9F" w:rsidR="00F6515B" w:rsidRDefault="00F6515B" w:rsidP="00915830">
      <w:pPr>
        <w:spacing w:after="0" w:line="276" w:lineRule="auto"/>
        <w:jc w:val="both"/>
        <w:rPr>
          <w:rFonts w:ascii="Times New Roman" w:hAnsi="Times New Roman" w:cs="Times New Roman"/>
          <w:b/>
          <w:bCs/>
          <w:sz w:val="24"/>
          <w:szCs w:val="24"/>
        </w:rPr>
      </w:pPr>
    </w:p>
    <w:p w14:paraId="614433A4" w14:textId="55CA3A73" w:rsidR="003D591D" w:rsidRDefault="00F6515B" w:rsidP="001F71E9">
      <w:pPr>
        <w:spacing w:after="0" w:line="276" w:lineRule="auto"/>
        <w:ind w:right="-283"/>
        <w:jc w:val="both"/>
        <w:rPr>
          <w:rFonts w:ascii="Times New Roman" w:hAnsi="Times New Roman" w:cs="Times New Roman"/>
          <w:sz w:val="24"/>
          <w:szCs w:val="24"/>
        </w:rPr>
      </w:pPr>
      <w:r w:rsidRPr="00F6515B">
        <w:rPr>
          <w:rFonts w:ascii="Times New Roman" w:hAnsi="Times New Roman" w:cs="Times New Roman"/>
          <w:sz w:val="24"/>
          <w:szCs w:val="24"/>
        </w:rPr>
        <w:t>Dentro de las indicaciones incorporadas al proyecto, se establece que la carga tributaria máxima a la que podrá verse afect</w:t>
      </w:r>
      <w:r w:rsidR="001F71E9">
        <w:rPr>
          <w:rFonts w:ascii="Times New Roman" w:hAnsi="Times New Roman" w:cs="Times New Roman"/>
          <w:sz w:val="24"/>
          <w:szCs w:val="24"/>
        </w:rPr>
        <w:t>o</w:t>
      </w:r>
      <w:r w:rsidRPr="00F6515B">
        <w:rPr>
          <w:rFonts w:ascii="Times New Roman" w:hAnsi="Times New Roman" w:cs="Times New Roman"/>
          <w:sz w:val="24"/>
          <w:szCs w:val="24"/>
        </w:rPr>
        <w:t xml:space="preserve"> un contribuyente por aplicación del impuesto a la renta y </w:t>
      </w:r>
      <w:r w:rsidR="001F71E9">
        <w:rPr>
          <w:rFonts w:ascii="Times New Roman" w:hAnsi="Times New Roman" w:cs="Times New Roman"/>
          <w:sz w:val="24"/>
          <w:szCs w:val="24"/>
        </w:rPr>
        <w:t>de</w:t>
      </w:r>
      <w:r w:rsidRPr="00F6515B">
        <w:rPr>
          <w:rFonts w:ascii="Times New Roman" w:hAnsi="Times New Roman" w:cs="Times New Roman"/>
          <w:sz w:val="24"/>
          <w:szCs w:val="24"/>
        </w:rPr>
        <w:t>l impuesto al patrimonio, no podrá superar el 50% de la rentabilidad del patrimonio.</w:t>
      </w:r>
    </w:p>
    <w:p w14:paraId="4EEAB271" w14:textId="77777777" w:rsidR="003D591D" w:rsidRDefault="003D591D" w:rsidP="001F71E9">
      <w:pPr>
        <w:spacing w:after="0" w:line="276" w:lineRule="auto"/>
        <w:ind w:right="-283"/>
        <w:jc w:val="both"/>
        <w:rPr>
          <w:rFonts w:ascii="Times New Roman" w:hAnsi="Times New Roman" w:cs="Times New Roman"/>
          <w:sz w:val="24"/>
          <w:szCs w:val="24"/>
        </w:rPr>
      </w:pPr>
    </w:p>
    <w:p w14:paraId="12252892" w14:textId="4A312C43" w:rsidR="00F6515B" w:rsidRDefault="00F6515B" w:rsidP="001F71E9">
      <w:pPr>
        <w:spacing w:after="0" w:line="276" w:lineRule="auto"/>
        <w:ind w:right="-283"/>
        <w:jc w:val="both"/>
        <w:rPr>
          <w:rFonts w:ascii="Times New Roman" w:hAnsi="Times New Roman" w:cs="Times New Roman"/>
          <w:sz w:val="24"/>
          <w:szCs w:val="24"/>
        </w:rPr>
      </w:pPr>
      <w:r>
        <w:rPr>
          <w:rFonts w:ascii="Times New Roman" w:hAnsi="Times New Roman" w:cs="Times New Roman"/>
          <w:sz w:val="24"/>
          <w:szCs w:val="24"/>
        </w:rPr>
        <w:t>Dado lo anterior, el impuesto al patrimonio a pagar sería el monto menor entre:</w:t>
      </w:r>
    </w:p>
    <w:p w14:paraId="5B7BE20D" w14:textId="77777777" w:rsidR="001F71E9" w:rsidRDefault="001F71E9" w:rsidP="001F71E9">
      <w:pPr>
        <w:spacing w:after="0" w:line="276" w:lineRule="auto"/>
        <w:ind w:right="-283"/>
        <w:jc w:val="both"/>
        <w:rPr>
          <w:rFonts w:ascii="Times New Roman" w:hAnsi="Times New Roman" w:cs="Times New Roman"/>
          <w:sz w:val="24"/>
          <w:szCs w:val="24"/>
        </w:rPr>
      </w:pPr>
    </w:p>
    <w:p w14:paraId="03C7FA35" w14:textId="0598C21F" w:rsidR="00F6515B" w:rsidRDefault="00F6515B" w:rsidP="00915830">
      <w:pPr>
        <w:pStyle w:val="Prrafodelista"/>
        <w:numPr>
          <w:ilvl w:val="0"/>
          <w:numId w:val="2"/>
        </w:numPr>
        <w:spacing w:after="0" w:line="276" w:lineRule="auto"/>
        <w:ind w:right="-283"/>
        <w:jc w:val="both"/>
        <w:rPr>
          <w:rFonts w:ascii="Times New Roman" w:hAnsi="Times New Roman" w:cs="Times New Roman"/>
          <w:sz w:val="24"/>
          <w:szCs w:val="24"/>
        </w:rPr>
      </w:pPr>
      <w:r>
        <w:rPr>
          <w:rFonts w:ascii="Times New Roman" w:hAnsi="Times New Roman" w:cs="Times New Roman"/>
          <w:sz w:val="24"/>
          <w:szCs w:val="24"/>
        </w:rPr>
        <w:t>El impuesto al patrimonio determinado según lo ya descrito precedentemente, o,</w:t>
      </w:r>
    </w:p>
    <w:p w14:paraId="56D6C635" w14:textId="77777777" w:rsidR="00F50B86" w:rsidRDefault="00F6515B" w:rsidP="00915830">
      <w:pPr>
        <w:pStyle w:val="Prrafodelista"/>
        <w:numPr>
          <w:ilvl w:val="0"/>
          <w:numId w:val="2"/>
        </w:numPr>
        <w:spacing w:after="0" w:line="276" w:lineRule="auto"/>
        <w:ind w:right="-283"/>
        <w:jc w:val="both"/>
        <w:rPr>
          <w:rFonts w:ascii="Times New Roman" w:hAnsi="Times New Roman" w:cs="Times New Roman"/>
          <w:sz w:val="24"/>
          <w:szCs w:val="24"/>
        </w:rPr>
      </w:pPr>
      <w:r>
        <w:rPr>
          <w:rFonts w:ascii="Times New Roman" w:hAnsi="Times New Roman" w:cs="Times New Roman"/>
          <w:sz w:val="24"/>
          <w:szCs w:val="24"/>
        </w:rPr>
        <w:t xml:space="preserve">El 50% de la rentabilidad del patrimonio, deducido el Impuesto de Primera Categoría (“IDPC”), debiendo deducir las sumas </w:t>
      </w:r>
      <w:r w:rsidR="00F50B86">
        <w:rPr>
          <w:rFonts w:ascii="Times New Roman" w:hAnsi="Times New Roman" w:cs="Times New Roman"/>
          <w:sz w:val="24"/>
          <w:szCs w:val="24"/>
        </w:rPr>
        <w:t>que debe pagar en el mismo ejercicio</w:t>
      </w:r>
      <w:r>
        <w:rPr>
          <w:rFonts w:ascii="Times New Roman" w:hAnsi="Times New Roman" w:cs="Times New Roman"/>
          <w:sz w:val="24"/>
          <w:szCs w:val="24"/>
        </w:rPr>
        <w:t xml:space="preserve"> por concepto de impuesto a las rentas de capital y/o de Impuesto Global Complementario (“IGC”)</w:t>
      </w:r>
      <w:r w:rsidR="00F50B86">
        <w:rPr>
          <w:rFonts w:ascii="Times New Roman" w:hAnsi="Times New Roman" w:cs="Times New Roman"/>
          <w:sz w:val="24"/>
          <w:szCs w:val="24"/>
        </w:rPr>
        <w:t xml:space="preserve">. Respecto de este último impuesto se deberá deducir la parte gravada de acuerdo al artículo 42 de la LIR. </w:t>
      </w:r>
    </w:p>
    <w:p w14:paraId="6C6E6ED5" w14:textId="77777777" w:rsidR="003D591D" w:rsidRDefault="003D591D" w:rsidP="00915830">
      <w:pPr>
        <w:spacing w:after="0" w:line="276" w:lineRule="auto"/>
        <w:jc w:val="both"/>
        <w:rPr>
          <w:rFonts w:ascii="Times New Roman" w:hAnsi="Times New Roman" w:cs="Times New Roman"/>
          <w:sz w:val="24"/>
          <w:szCs w:val="24"/>
        </w:rPr>
      </w:pPr>
    </w:p>
    <w:p w14:paraId="50F1CB5D" w14:textId="079F4E06" w:rsidR="003D591D" w:rsidRDefault="00F50B86" w:rsidP="001F71E9">
      <w:pPr>
        <w:spacing w:after="0" w:line="276" w:lineRule="auto"/>
        <w:ind w:right="-283"/>
        <w:jc w:val="both"/>
        <w:rPr>
          <w:rFonts w:ascii="Times New Roman" w:hAnsi="Times New Roman" w:cs="Times New Roman"/>
          <w:sz w:val="24"/>
          <w:szCs w:val="24"/>
        </w:rPr>
      </w:pPr>
      <w:r w:rsidRPr="00F50B86">
        <w:rPr>
          <w:rFonts w:ascii="Times New Roman" w:hAnsi="Times New Roman" w:cs="Times New Roman"/>
          <w:sz w:val="24"/>
          <w:szCs w:val="24"/>
        </w:rPr>
        <w:t xml:space="preserve">Para </w:t>
      </w:r>
      <w:r>
        <w:rPr>
          <w:rFonts w:ascii="Times New Roman" w:hAnsi="Times New Roman" w:cs="Times New Roman"/>
          <w:sz w:val="24"/>
          <w:szCs w:val="24"/>
        </w:rPr>
        <w:t>efectos</w:t>
      </w:r>
      <w:r w:rsidRPr="00F50B86">
        <w:rPr>
          <w:rFonts w:ascii="Times New Roman" w:hAnsi="Times New Roman" w:cs="Times New Roman"/>
          <w:sz w:val="24"/>
          <w:szCs w:val="24"/>
        </w:rPr>
        <w:t xml:space="preserve"> </w:t>
      </w:r>
      <w:r>
        <w:rPr>
          <w:rFonts w:ascii="Times New Roman" w:hAnsi="Times New Roman" w:cs="Times New Roman"/>
          <w:sz w:val="24"/>
          <w:szCs w:val="24"/>
        </w:rPr>
        <w:t>de lo anterior</w:t>
      </w:r>
      <w:r w:rsidRPr="00F50B86">
        <w:rPr>
          <w:rFonts w:ascii="Times New Roman" w:hAnsi="Times New Roman" w:cs="Times New Roman"/>
          <w:sz w:val="24"/>
          <w:szCs w:val="24"/>
        </w:rPr>
        <w:t xml:space="preserve">, se presumirá que la rentabilidad anual del patrimonio es equivalente a un 6% del patrimonio determinado al cierre del ejercicio, pudiendo acreditarse por el contribuyente que esta </w:t>
      </w:r>
      <w:r>
        <w:rPr>
          <w:rFonts w:ascii="Times New Roman" w:hAnsi="Times New Roman" w:cs="Times New Roman"/>
          <w:sz w:val="24"/>
          <w:szCs w:val="24"/>
        </w:rPr>
        <w:t xml:space="preserve">rentabilidad </w:t>
      </w:r>
      <w:r w:rsidRPr="00F50B86">
        <w:rPr>
          <w:rFonts w:ascii="Times New Roman" w:hAnsi="Times New Roman" w:cs="Times New Roman"/>
          <w:sz w:val="24"/>
          <w:szCs w:val="24"/>
        </w:rPr>
        <w:t>es inferior a dicho monto</w:t>
      </w:r>
      <w:r>
        <w:rPr>
          <w:rFonts w:ascii="Times New Roman" w:hAnsi="Times New Roman" w:cs="Times New Roman"/>
          <w:sz w:val="24"/>
          <w:szCs w:val="24"/>
        </w:rPr>
        <w:t>. En dicho caso</w:t>
      </w:r>
      <w:r w:rsidR="00C05718">
        <w:rPr>
          <w:rFonts w:ascii="Times New Roman" w:hAnsi="Times New Roman" w:cs="Times New Roman"/>
          <w:sz w:val="24"/>
          <w:szCs w:val="24"/>
        </w:rPr>
        <w:t>,</w:t>
      </w:r>
      <w:r>
        <w:rPr>
          <w:rFonts w:ascii="Times New Roman" w:hAnsi="Times New Roman" w:cs="Times New Roman"/>
          <w:sz w:val="24"/>
          <w:szCs w:val="24"/>
        </w:rPr>
        <w:t xml:space="preserve"> la rentabilidad no podrá</w:t>
      </w:r>
      <w:r w:rsidRPr="00F50B86">
        <w:rPr>
          <w:rFonts w:ascii="Times New Roman" w:hAnsi="Times New Roman" w:cs="Times New Roman"/>
          <w:sz w:val="24"/>
          <w:szCs w:val="24"/>
        </w:rPr>
        <w:t xml:space="preserve"> ser inferior a un 2,5% del valor del patrimonio. </w:t>
      </w:r>
    </w:p>
    <w:p w14:paraId="756CDCC6" w14:textId="77777777" w:rsidR="003D591D" w:rsidRDefault="003D591D" w:rsidP="001F71E9">
      <w:pPr>
        <w:spacing w:after="0" w:line="276" w:lineRule="auto"/>
        <w:ind w:right="-283"/>
        <w:jc w:val="both"/>
        <w:rPr>
          <w:rFonts w:ascii="Times New Roman" w:hAnsi="Times New Roman" w:cs="Times New Roman"/>
          <w:sz w:val="24"/>
          <w:szCs w:val="24"/>
        </w:rPr>
      </w:pPr>
    </w:p>
    <w:p w14:paraId="3577D6E7" w14:textId="47982144" w:rsidR="00F50B86" w:rsidRDefault="00F50B86" w:rsidP="001F71E9">
      <w:pPr>
        <w:spacing w:after="0" w:line="276" w:lineRule="auto"/>
        <w:ind w:right="-283"/>
        <w:jc w:val="both"/>
        <w:rPr>
          <w:rFonts w:ascii="Times New Roman" w:hAnsi="Times New Roman" w:cs="Times New Roman"/>
          <w:sz w:val="24"/>
          <w:szCs w:val="24"/>
        </w:rPr>
      </w:pPr>
      <w:r>
        <w:rPr>
          <w:rFonts w:ascii="Times New Roman" w:hAnsi="Times New Roman" w:cs="Times New Roman"/>
          <w:sz w:val="24"/>
          <w:szCs w:val="24"/>
        </w:rPr>
        <w:t xml:space="preserve">En caso </w:t>
      </w:r>
      <w:r w:rsidR="00C05718">
        <w:rPr>
          <w:rFonts w:ascii="Times New Roman" w:hAnsi="Times New Roman" w:cs="Times New Roman"/>
          <w:sz w:val="24"/>
          <w:szCs w:val="24"/>
        </w:rPr>
        <w:t xml:space="preserve">de </w:t>
      </w:r>
      <w:r>
        <w:rPr>
          <w:rFonts w:ascii="Times New Roman" w:hAnsi="Times New Roman" w:cs="Times New Roman"/>
          <w:sz w:val="24"/>
          <w:szCs w:val="24"/>
        </w:rPr>
        <w:t>que la rentabilidad del patrimonio</w:t>
      </w:r>
      <w:r w:rsidR="00C05718">
        <w:rPr>
          <w:rFonts w:ascii="Times New Roman" w:hAnsi="Times New Roman" w:cs="Times New Roman"/>
          <w:sz w:val="24"/>
          <w:szCs w:val="24"/>
        </w:rPr>
        <w:t xml:space="preserve">, </w:t>
      </w:r>
      <w:r>
        <w:rPr>
          <w:rFonts w:ascii="Times New Roman" w:hAnsi="Times New Roman" w:cs="Times New Roman"/>
          <w:sz w:val="24"/>
          <w:szCs w:val="24"/>
        </w:rPr>
        <w:t>según lo recién indicado</w:t>
      </w:r>
      <w:r w:rsidR="00C05718">
        <w:rPr>
          <w:rFonts w:ascii="Times New Roman" w:hAnsi="Times New Roman" w:cs="Times New Roman"/>
          <w:sz w:val="24"/>
          <w:szCs w:val="24"/>
        </w:rPr>
        <w:t>,</w:t>
      </w:r>
      <w:r>
        <w:rPr>
          <w:rFonts w:ascii="Times New Roman" w:hAnsi="Times New Roman" w:cs="Times New Roman"/>
          <w:sz w:val="24"/>
          <w:szCs w:val="24"/>
        </w:rPr>
        <w:t xml:space="preserve"> sea de 2,5%, el impuesto al patrimonio será el monto inferior entre:</w:t>
      </w:r>
    </w:p>
    <w:p w14:paraId="324104C5" w14:textId="77777777" w:rsidR="00C05718" w:rsidRDefault="00C05718" w:rsidP="001F71E9">
      <w:pPr>
        <w:spacing w:after="0" w:line="276" w:lineRule="auto"/>
        <w:ind w:right="-283"/>
        <w:jc w:val="both"/>
        <w:rPr>
          <w:rFonts w:ascii="Times New Roman" w:hAnsi="Times New Roman" w:cs="Times New Roman"/>
          <w:sz w:val="24"/>
          <w:szCs w:val="24"/>
        </w:rPr>
      </w:pPr>
    </w:p>
    <w:p w14:paraId="7A09CC85" w14:textId="29777A14" w:rsidR="00F50B86" w:rsidRDefault="00F50B86" w:rsidP="00915830">
      <w:pPr>
        <w:pStyle w:val="Prrafodelista"/>
        <w:numPr>
          <w:ilvl w:val="0"/>
          <w:numId w:val="3"/>
        </w:numPr>
        <w:spacing w:after="0" w:line="276" w:lineRule="auto"/>
        <w:ind w:right="-283"/>
        <w:jc w:val="both"/>
        <w:rPr>
          <w:rFonts w:ascii="Times New Roman" w:hAnsi="Times New Roman" w:cs="Times New Roman"/>
          <w:sz w:val="24"/>
          <w:szCs w:val="24"/>
        </w:rPr>
      </w:pPr>
      <w:r>
        <w:rPr>
          <w:rFonts w:ascii="Times New Roman" w:hAnsi="Times New Roman" w:cs="Times New Roman"/>
          <w:sz w:val="24"/>
          <w:szCs w:val="24"/>
        </w:rPr>
        <w:t>Impuesto al patrimonio determinado según lo ya descrito precedentemente, o,</w:t>
      </w:r>
    </w:p>
    <w:p w14:paraId="0B7CF31E" w14:textId="2DC410EE" w:rsidR="00F6515B" w:rsidRDefault="00F50B86" w:rsidP="00915830">
      <w:pPr>
        <w:pStyle w:val="Prrafodelista"/>
        <w:numPr>
          <w:ilvl w:val="0"/>
          <w:numId w:val="3"/>
        </w:numPr>
        <w:spacing w:after="0" w:line="276" w:lineRule="auto"/>
        <w:ind w:right="-283"/>
        <w:jc w:val="both"/>
        <w:rPr>
          <w:rFonts w:ascii="Times New Roman" w:hAnsi="Times New Roman" w:cs="Times New Roman"/>
          <w:sz w:val="24"/>
          <w:szCs w:val="24"/>
        </w:rPr>
      </w:pPr>
      <w:r w:rsidRPr="00F50B86">
        <w:rPr>
          <w:rFonts w:ascii="Times New Roman" w:hAnsi="Times New Roman" w:cs="Times New Roman"/>
          <w:sz w:val="24"/>
          <w:szCs w:val="24"/>
        </w:rPr>
        <w:t>El 50% de la rentabilidad efectiva del patrimonio, al que se le deducirá el IDPC que efectivamente haya soportado el contribuyente y que le sea atribuible debiendo deducir las sumas que debe pagar en el mismo ejercicio por concepto de impuesto a las rentas de capital y/o de IGC.</w:t>
      </w:r>
    </w:p>
    <w:p w14:paraId="41F2EE52" w14:textId="77777777" w:rsidR="00603B8C" w:rsidRPr="00603B8C" w:rsidRDefault="00603B8C" w:rsidP="00915830">
      <w:pPr>
        <w:spacing w:after="0" w:line="276" w:lineRule="auto"/>
        <w:jc w:val="both"/>
        <w:rPr>
          <w:rFonts w:ascii="Times New Roman" w:hAnsi="Times New Roman" w:cs="Times New Roman"/>
          <w:sz w:val="24"/>
          <w:szCs w:val="24"/>
        </w:rPr>
      </w:pPr>
    </w:p>
    <w:p w14:paraId="60C3747B" w14:textId="4CBC0E8F" w:rsidR="00603B8C" w:rsidRDefault="00603B8C" w:rsidP="00C05718">
      <w:pPr>
        <w:pStyle w:val="Prrafodelista"/>
        <w:numPr>
          <w:ilvl w:val="0"/>
          <w:numId w:val="4"/>
        </w:numPr>
        <w:spacing w:after="0" w:line="276" w:lineRule="auto"/>
        <w:ind w:right="-283"/>
        <w:jc w:val="both"/>
        <w:rPr>
          <w:rFonts w:ascii="Times New Roman" w:hAnsi="Times New Roman" w:cs="Times New Roman"/>
          <w:b/>
          <w:bCs/>
          <w:sz w:val="24"/>
          <w:szCs w:val="24"/>
        </w:rPr>
      </w:pPr>
      <w:r>
        <w:rPr>
          <w:rFonts w:ascii="Times New Roman" w:hAnsi="Times New Roman" w:cs="Times New Roman"/>
          <w:b/>
          <w:bCs/>
          <w:sz w:val="24"/>
          <w:szCs w:val="24"/>
        </w:rPr>
        <w:t xml:space="preserve">Pérdida de domicilio y residencia. </w:t>
      </w:r>
    </w:p>
    <w:p w14:paraId="55AF1284" w14:textId="38662F17" w:rsidR="00603B8C" w:rsidRDefault="00603B8C" w:rsidP="00915830">
      <w:pPr>
        <w:spacing w:after="0" w:line="276" w:lineRule="auto"/>
        <w:jc w:val="both"/>
        <w:rPr>
          <w:rFonts w:ascii="Times New Roman" w:hAnsi="Times New Roman" w:cs="Times New Roman"/>
          <w:b/>
          <w:bCs/>
          <w:sz w:val="24"/>
          <w:szCs w:val="24"/>
        </w:rPr>
      </w:pPr>
    </w:p>
    <w:p w14:paraId="432956BA" w14:textId="180D9C63" w:rsidR="00603B8C" w:rsidRPr="00603B8C" w:rsidRDefault="00603B8C" w:rsidP="00C05718">
      <w:pPr>
        <w:spacing w:after="0" w:line="276" w:lineRule="auto"/>
        <w:ind w:right="-283"/>
        <w:jc w:val="both"/>
        <w:rPr>
          <w:rFonts w:ascii="Times New Roman" w:hAnsi="Times New Roman" w:cs="Times New Roman"/>
          <w:sz w:val="24"/>
          <w:szCs w:val="24"/>
        </w:rPr>
      </w:pPr>
      <w:r w:rsidRPr="00603B8C">
        <w:rPr>
          <w:rFonts w:ascii="Times New Roman" w:hAnsi="Times New Roman" w:cs="Times New Roman"/>
          <w:sz w:val="24"/>
          <w:szCs w:val="24"/>
        </w:rPr>
        <w:t>Los contribuyentes que vayan a perder su domicilio y residencia en Chile</w:t>
      </w:r>
      <w:r w:rsidR="00C05718">
        <w:rPr>
          <w:rFonts w:ascii="Times New Roman" w:hAnsi="Times New Roman" w:cs="Times New Roman"/>
          <w:sz w:val="24"/>
          <w:szCs w:val="24"/>
        </w:rPr>
        <w:t>,</w:t>
      </w:r>
      <w:r w:rsidRPr="00603B8C">
        <w:rPr>
          <w:rFonts w:ascii="Times New Roman" w:hAnsi="Times New Roman" w:cs="Times New Roman"/>
          <w:sz w:val="24"/>
          <w:szCs w:val="24"/>
        </w:rPr>
        <w:t xml:space="preserve"> teniendo un patrimonio mayor a 6.000 UTA según su valor al mes anterior al que se ausentaren del país, deberán declarar y pagar el impuesto al patrimonio en la proporción que corresponda a los meses que transcurrieren entre el </w:t>
      </w:r>
      <w:r w:rsidR="00C05718">
        <w:rPr>
          <w:rFonts w:ascii="Times New Roman" w:hAnsi="Times New Roman" w:cs="Times New Roman"/>
          <w:sz w:val="24"/>
          <w:szCs w:val="24"/>
        </w:rPr>
        <w:t>1°</w:t>
      </w:r>
      <w:r w:rsidRPr="00603B8C">
        <w:rPr>
          <w:rFonts w:ascii="Times New Roman" w:hAnsi="Times New Roman" w:cs="Times New Roman"/>
          <w:sz w:val="24"/>
          <w:szCs w:val="24"/>
        </w:rPr>
        <w:t xml:space="preserve"> de enero de año respectivo, y el último día del mes anterior a aquel en que se ausenten del país. Les resulta aplicable lo establecido en relación a la carga tributaria máxima. </w:t>
      </w:r>
    </w:p>
    <w:p w14:paraId="6FD1777C" w14:textId="712F5328" w:rsidR="00C05718" w:rsidRDefault="00C05718">
      <w:pPr>
        <w:rPr>
          <w:rFonts w:ascii="Times New Roman" w:hAnsi="Times New Roman" w:cs="Times New Roman"/>
          <w:b/>
          <w:bCs/>
          <w:sz w:val="24"/>
          <w:szCs w:val="24"/>
        </w:rPr>
      </w:pPr>
      <w:r>
        <w:rPr>
          <w:rFonts w:ascii="Times New Roman" w:hAnsi="Times New Roman" w:cs="Times New Roman"/>
          <w:b/>
          <w:bCs/>
          <w:sz w:val="24"/>
          <w:szCs w:val="24"/>
        </w:rPr>
        <w:br w:type="page"/>
      </w:r>
    </w:p>
    <w:p w14:paraId="749185DC" w14:textId="1FAD91EA" w:rsidR="00297252" w:rsidRPr="00C116A0" w:rsidRDefault="00297252" w:rsidP="00C05718">
      <w:pPr>
        <w:pStyle w:val="Prrafodelista"/>
        <w:numPr>
          <w:ilvl w:val="0"/>
          <w:numId w:val="4"/>
        </w:numPr>
        <w:spacing w:after="0" w:line="276" w:lineRule="auto"/>
        <w:ind w:right="-283"/>
        <w:jc w:val="both"/>
        <w:rPr>
          <w:rFonts w:ascii="Times New Roman" w:hAnsi="Times New Roman" w:cs="Times New Roman"/>
          <w:b/>
          <w:bCs/>
          <w:sz w:val="24"/>
          <w:szCs w:val="24"/>
        </w:rPr>
      </w:pPr>
      <w:r w:rsidRPr="00C116A0">
        <w:rPr>
          <w:rFonts w:ascii="Times New Roman" w:hAnsi="Times New Roman" w:cs="Times New Roman"/>
          <w:b/>
          <w:bCs/>
          <w:sz w:val="24"/>
          <w:szCs w:val="24"/>
        </w:rPr>
        <w:lastRenderedPageBreak/>
        <w:t xml:space="preserve">Plazo y entrada en vigencia. </w:t>
      </w:r>
    </w:p>
    <w:p w14:paraId="0DC9345F" w14:textId="77777777" w:rsidR="00297252" w:rsidRPr="00C116A0" w:rsidRDefault="00297252" w:rsidP="00915830">
      <w:pPr>
        <w:spacing w:after="0" w:line="276" w:lineRule="auto"/>
        <w:jc w:val="both"/>
        <w:rPr>
          <w:rFonts w:ascii="Times New Roman" w:hAnsi="Times New Roman" w:cs="Times New Roman"/>
          <w:b/>
          <w:bCs/>
          <w:sz w:val="24"/>
          <w:szCs w:val="24"/>
        </w:rPr>
      </w:pPr>
    </w:p>
    <w:p w14:paraId="7AEAE644" w14:textId="71630016" w:rsidR="00297252" w:rsidRPr="00C116A0" w:rsidRDefault="00297252" w:rsidP="00C05718">
      <w:pPr>
        <w:spacing w:after="0" w:line="276" w:lineRule="auto"/>
        <w:ind w:right="-283"/>
        <w:jc w:val="both"/>
        <w:rPr>
          <w:rFonts w:ascii="Times New Roman" w:hAnsi="Times New Roman" w:cs="Times New Roman"/>
          <w:sz w:val="24"/>
          <w:szCs w:val="24"/>
        </w:rPr>
      </w:pPr>
      <w:r w:rsidRPr="00C116A0">
        <w:rPr>
          <w:rFonts w:ascii="Times New Roman" w:hAnsi="Times New Roman" w:cs="Times New Roman"/>
          <w:sz w:val="24"/>
          <w:szCs w:val="24"/>
        </w:rPr>
        <w:t>Este impuesto se devengará el 31 de diciembre de cada año calendario y deberá ser declarado y pagado dentro del mes de junio del año siguiente. El contenido y forma de la declaración será determinado por el SII mediante resolución.</w:t>
      </w:r>
    </w:p>
    <w:p w14:paraId="2090C307" w14:textId="77777777" w:rsidR="00297252" w:rsidRPr="00C116A0" w:rsidRDefault="00297252" w:rsidP="00C05718">
      <w:pPr>
        <w:spacing w:after="0" w:line="276" w:lineRule="auto"/>
        <w:ind w:right="-283"/>
        <w:jc w:val="both"/>
        <w:rPr>
          <w:rFonts w:ascii="Times New Roman" w:hAnsi="Times New Roman" w:cs="Times New Roman"/>
          <w:sz w:val="24"/>
          <w:szCs w:val="24"/>
        </w:rPr>
      </w:pPr>
    </w:p>
    <w:p w14:paraId="6C96B4FD" w14:textId="7E0735CA" w:rsidR="00297252" w:rsidRPr="00C116A0" w:rsidRDefault="00297252" w:rsidP="00C05718">
      <w:pPr>
        <w:spacing w:after="0" w:line="276" w:lineRule="auto"/>
        <w:ind w:right="-283"/>
        <w:jc w:val="both"/>
        <w:rPr>
          <w:rFonts w:ascii="Times New Roman" w:hAnsi="Times New Roman" w:cs="Times New Roman"/>
          <w:sz w:val="24"/>
          <w:szCs w:val="24"/>
        </w:rPr>
      </w:pPr>
      <w:r w:rsidRPr="00C116A0">
        <w:rPr>
          <w:rFonts w:ascii="Times New Roman" w:hAnsi="Times New Roman" w:cs="Times New Roman"/>
          <w:sz w:val="24"/>
          <w:szCs w:val="24"/>
        </w:rPr>
        <w:t>Este nuevo impuesto entrará en vigencia el 1° de enero de 2024, sobre el patrimonio determinado al 31 de diciembre de 2023, aplicándose durante este primer ejercicio únicamente sobre la parte del patrimonio que exceda de 18.000 UTA</w:t>
      </w:r>
      <w:r w:rsidR="00C05718">
        <w:rPr>
          <w:rStyle w:val="Refdenotaalpie"/>
          <w:rFonts w:ascii="Times New Roman" w:hAnsi="Times New Roman" w:cs="Times New Roman"/>
          <w:sz w:val="24"/>
          <w:szCs w:val="24"/>
        </w:rPr>
        <w:footnoteReference w:id="6"/>
      </w:r>
      <w:r w:rsidRPr="00C116A0">
        <w:rPr>
          <w:rFonts w:ascii="Times New Roman" w:hAnsi="Times New Roman" w:cs="Times New Roman"/>
          <w:sz w:val="24"/>
          <w:szCs w:val="24"/>
        </w:rPr>
        <w:t xml:space="preserve">, con una tasa de 1,8%. </w:t>
      </w:r>
    </w:p>
    <w:p w14:paraId="6CAA38C1" w14:textId="77777777" w:rsidR="00297252" w:rsidRPr="00C116A0" w:rsidRDefault="00297252" w:rsidP="00C05718">
      <w:pPr>
        <w:spacing w:after="0" w:line="276" w:lineRule="auto"/>
        <w:ind w:right="-283"/>
        <w:jc w:val="both"/>
        <w:rPr>
          <w:rFonts w:ascii="Times New Roman" w:hAnsi="Times New Roman" w:cs="Times New Roman"/>
          <w:sz w:val="24"/>
          <w:szCs w:val="24"/>
        </w:rPr>
      </w:pPr>
    </w:p>
    <w:p w14:paraId="59504537" w14:textId="77777777" w:rsidR="00297252" w:rsidRPr="00C116A0" w:rsidRDefault="00297252" w:rsidP="00C05718">
      <w:pPr>
        <w:spacing w:after="0" w:line="276" w:lineRule="auto"/>
        <w:ind w:right="-283"/>
        <w:jc w:val="both"/>
        <w:rPr>
          <w:rFonts w:ascii="Times New Roman" w:hAnsi="Times New Roman" w:cs="Times New Roman"/>
          <w:sz w:val="24"/>
          <w:szCs w:val="24"/>
        </w:rPr>
      </w:pPr>
      <w:r w:rsidRPr="00C116A0">
        <w:rPr>
          <w:rFonts w:ascii="Times New Roman" w:hAnsi="Times New Roman" w:cs="Times New Roman"/>
          <w:sz w:val="24"/>
          <w:szCs w:val="24"/>
        </w:rPr>
        <w:t xml:space="preserve">A contar del año siguiente, el 1° de enero de 2025, respecto del patrimonio determinado al 31 de diciembre de 2024, se aplicará también sobre la parte del patrimonio que exceda de 6.000 UTA, con una tasa de 1%. </w:t>
      </w:r>
    </w:p>
    <w:p w14:paraId="777C279E" w14:textId="77777777" w:rsidR="00297252" w:rsidRPr="00C116A0" w:rsidRDefault="00297252" w:rsidP="00915830">
      <w:pPr>
        <w:spacing w:after="0" w:line="276" w:lineRule="auto"/>
        <w:jc w:val="both"/>
        <w:rPr>
          <w:rFonts w:ascii="Times New Roman" w:hAnsi="Times New Roman" w:cs="Times New Roman"/>
          <w:sz w:val="24"/>
          <w:szCs w:val="24"/>
        </w:rPr>
      </w:pPr>
    </w:p>
    <w:p w14:paraId="7108D407" w14:textId="77777777" w:rsidR="00297252" w:rsidRPr="00C116A0" w:rsidRDefault="00297252" w:rsidP="001C79C4">
      <w:pPr>
        <w:pStyle w:val="Prrafodelista"/>
        <w:numPr>
          <w:ilvl w:val="0"/>
          <w:numId w:val="4"/>
        </w:numPr>
        <w:spacing w:after="0" w:line="276" w:lineRule="auto"/>
        <w:ind w:right="-283"/>
        <w:jc w:val="both"/>
        <w:rPr>
          <w:rFonts w:ascii="Times New Roman" w:hAnsi="Times New Roman" w:cs="Times New Roman"/>
          <w:b/>
          <w:bCs/>
          <w:sz w:val="24"/>
          <w:szCs w:val="24"/>
        </w:rPr>
      </w:pPr>
      <w:r w:rsidRPr="00C116A0">
        <w:rPr>
          <w:rFonts w:ascii="Times New Roman" w:hAnsi="Times New Roman" w:cs="Times New Roman"/>
          <w:b/>
          <w:bCs/>
          <w:sz w:val="24"/>
          <w:szCs w:val="24"/>
        </w:rPr>
        <w:t xml:space="preserve">Sanciones por incumplimiento. </w:t>
      </w:r>
    </w:p>
    <w:p w14:paraId="7ABB05A7" w14:textId="77777777" w:rsidR="00297252" w:rsidRPr="00C116A0" w:rsidRDefault="00297252" w:rsidP="00915830">
      <w:pPr>
        <w:spacing w:after="0" w:line="276" w:lineRule="auto"/>
        <w:jc w:val="both"/>
        <w:rPr>
          <w:rFonts w:ascii="Times New Roman" w:hAnsi="Times New Roman" w:cs="Times New Roman"/>
          <w:sz w:val="24"/>
          <w:szCs w:val="24"/>
        </w:rPr>
      </w:pPr>
    </w:p>
    <w:p w14:paraId="394D8864" w14:textId="77777777" w:rsidR="003D591D" w:rsidRDefault="00297252" w:rsidP="00915830">
      <w:pPr>
        <w:pStyle w:val="Prrafodelista"/>
        <w:numPr>
          <w:ilvl w:val="0"/>
          <w:numId w:val="1"/>
        </w:numPr>
        <w:spacing w:after="0" w:line="276" w:lineRule="auto"/>
        <w:ind w:left="77" w:right="-283"/>
        <w:jc w:val="both"/>
        <w:rPr>
          <w:rFonts w:ascii="Times New Roman" w:hAnsi="Times New Roman" w:cs="Times New Roman"/>
          <w:sz w:val="24"/>
          <w:szCs w:val="24"/>
          <w:u w:val="single"/>
        </w:rPr>
      </w:pPr>
      <w:r w:rsidRPr="00C116A0">
        <w:rPr>
          <w:rFonts w:ascii="Times New Roman" w:hAnsi="Times New Roman" w:cs="Times New Roman"/>
          <w:sz w:val="24"/>
          <w:szCs w:val="24"/>
          <w:u w:val="single"/>
        </w:rPr>
        <w:t xml:space="preserve">Declaración de patrimonio total: </w:t>
      </w:r>
    </w:p>
    <w:p w14:paraId="46E05DF7" w14:textId="26B999C9" w:rsidR="00297252" w:rsidRPr="003D591D" w:rsidRDefault="00297252" w:rsidP="00915830">
      <w:pPr>
        <w:pStyle w:val="Prrafodelista"/>
        <w:numPr>
          <w:ilvl w:val="1"/>
          <w:numId w:val="1"/>
        </w:numPr>
        <w:spacing w:after="0" w:line="276" w:lineRule="auto"/>
        <w:ind w:right="-283"/>
        <w:jc w:val="both"/>
        <w:rPr>
          <w:rFonts w:ascii="Times New Roman" w:hAnsi="Times New Roman" w:cs="Times New Roman"/>
          <w:sz w:val="24"/>
          <w:szCs w:val="24"/>
          <w:u w:val="single"/>
        </w:rPr>
      </w:pPr>
      <w:r w:rsidRPr="003D591D">
        <w:rPr>
          <w:rFonts w:ascii="Times New Roman" w:hAnsi="Times New Roman" w:cs="Times New Roman"/>
          <w:sz w:val="24"/>
          <w:szCs w:val="24"/>
          <w:u w:val="single"/>
        </w:rPr>
        <w:t xml:space="preserve">El retardo u omisión en la presentación de la declaración: </w:t>
      </w:r>
      <w:r w:rsidRPr="003D591D">
        <w:rPr>
          <w:rFonts w:ascii="Times New Roman" w:hAnsi="Times New Roman" w:cs="Times New Roman"/>
          <w:sz w:val="24"/>
          <w:szCs w:val="24"/>
        </w:rPr>
        <w:t>Multa de 10% de los impuestos que resulten de la liquidación (retardo de hasta 5 meses). Sobre 5 meses de retardo, la multa aumentará en 2% por cada mes o fracción de mes de retardo, con un tope de 30% de los impuestos adeudados</w:t>
      </w:r>
      <w:r w:rsidRPr="00C116A0">
        <w:rPr>
          <w:rStyle w:val="Refdenotaalpie"/>
          <w:rFonts w:ascii="Times New Roman" w:hAnsi="Times New Roman" w:cs="Times New Roman"/>
          <w:sz w:val="24"/>
          <w:szCs w:val="24"/>
        </w:rPr>
        <w:footnoteReference w:id="7"/>
      </w:r>
      <w:r w:rsidRPr="003D591D">
        <w:rPr>
          <w:rFonts w:ascii="Times New Roman" w:hAnsi="Times New Roman" w:cs="Times New Roman"/>
          <w:sz w:val="24"/>
          <w:szCs w:val="24"/>
        </w:rPr>
        <w:t xml:space="preserve">. </w:t>
      </w:r>
    </w:p>
    <w:p w14:paraId="2881B329" w14:textId="1CAF2EE4" w:rsidR="00297252" w:rsidRPr="00C116A0" w:rsidRDefault="00297252" w:rsidP="00915830">
      <w:pPr>
        <w:pStyle w:val="Prrafodelista"/>
        <w:numPr>
          <w:ilvl w:val="1"/>
          <w:numId w:val="1"/>
        </w:numPr>
        <w:spacing w:after="0" w:line="276" w:lineRule="auto"/>
        <w:ind w:right="-283"/>
        <w:jc w:val="both"/>
        <w:rPr>
          <w:rFonts w:ascii="Times New Roman" w:hAnsi="Times New Roman" w:cs="Times New Roman"/>
          <w:sz w:val="24"/>
          <w:szCs w:val="24"/>
        </w:rPr>
      </w:pPr>
      <w:r w:rsidRPr="00C116A0">
        <w:rPr>
          <w:rFonts w:ascii="Times New Roman" w:hAnsi="Times New Roman" w:cs="Times New Roman"/>
          <w:sz w:val="24"/>
          <w:szCs w:val="24"/>
          <w:u w:val="single"/>
        </w:rPr>
        <w:t>Presentación maliciosamente incompleta o falsa, maniobras fraudulentas para burlar el impuesto:</w:t>
      </w:r>
      <w:r w:rsidRPr="00C116A0">
        <w:rPr>
          <w:rFonts w:ascii="Times New Roman" w:hAnsi="Times New Roman" w:cs="Times New Roman"/>
          <w:sz w:val="24"/>
          <w:szCs w:val="24"/>
        </w:rPr>
        <w:t xml:space="preserve"> 50% al 300% del valor del tributo eludido y presidio menor en grados medio a máximo.</w:t>
      </w:r>
      <w:r w:rsidRPr="00C116A0">
        <w:rPr>
          <w:rStyle w:val="Refdenotaalpie"/>
          <w:rFonts w:ascii="Times New Roman" w:hAnsi="Times New Roman" w:cs="Times New Roman"/>
          <w:sz w:val="24"/>
          <w:szCs w:val="24"/>
        </w:rPr>
        <w:footnoteReference w:id="8"/>
      </w:r>
    </w:p>
    <w:p w14:paraId="5ABD9D23" w14:textId="20DE898F" w:rsidR="00297252" w:rsidRPr="00C116A0" w:rsidRDefault="00297252" w:rsidP="00915830">
      <w:pPr>
        <w:pStyle w:val="Prrafodelista"/>
        <w:numPr>
          <w:ilvl w:val="0"/>
          <w:numId w:val="1"/>
        </w:numPr>
        <w:spacing w:after="0" w:line="276" w:lineRule="auto"/>
        <w:ind w:left="77" w:right="-283"/>
        <w:jc w:val="both"/>
        <w:rPr>
          <w:rFonts w:ascii="Times New Roman" w:hAnsi="Times New Roman" w:cs="Times New Roman"/>
          <w:sz w:val="24"/>
          <w:szCs w:val="24"/>
          <w:u w:val="single"/>
        </w:rPr>
      </w:pPr>
      <w:r w:rsidRPr="00C116A0">
        <w:rPr>
          <w:rFonts w:ascii="Times New Roman" w:hAnsi="Times New Roman" w:cs="Times New Roman"/>
          <w:sz w:val="24"/>
          <w:szCs w:val="24"/>
          <w:u w:val="single"/>
        </w:rPr>
        <w:t>Pago fuera de plazo:</w:t>
      </w:r>
      <w:r w:rsidRPr="00C116A0">
        <w:rPr>
          <w:rFonts w:ascii="Times New Roman" w:hAnsi="Times New Roman" w:cs="Times New Roman"/>
          <w:sz w:val="24"/>
          <w:szCs w:val="24"/>
        </w:rPr>
        <w:t xml:space="preserve"> Deberá realizarse reajustado con los intereses que correspondan. </w:t>
      </w:r>
    </w:p>
    <w:p w14:paraId="0FF931CC" w14:textId="6F9817EC" w:rsidR="00297252" w:rsidRPr="00C116A0" w:rsidRDefault="00297252" w:rsidP="00915830">
      <w:pPr>
        <w:spacing w:after="0"/>
        <w:rPr>
          <w:rFonts w:ascii="Times New Roman" w:hAnsi="Times New Roman" w:cs="Times New Roman"/>
          <w:sz w:val="24"/>
          <w:szCs w:val="24"/>
          <w:u w:val="single"/>
        </w:rPr>
      </w:pPr>
    </w:p>
    <w:p w14:paraId="00FF5FE3" w14:textId="77777777" w:rsidR="00297252" w:rsidRPr="00C116A0" w:rsidRDefault="00297252" w:rsidP="00915830">
      <w:pPr>
        <w:spacing w:after="0" w:line="288" w:lineRule="auto"/>
        <w:jc w:val="center"/>
        <w:rPr>
          <w:rFonts w:ascii="Times New Roman" w:hAnsi="Times New Roman" w:cs="Times New Roman"/>
          <w:sz w:val="24"/>
          <w:szCs w:val="24"/>
        </w:rPr>
      </w:pPr>
      <w:r w:rsidRPr="00C116A0">
        <w:rPr>
          <w:rFonts w:ascii="Times New Roman" w:hAnsi="Times New Roman" w:cs="Times New Roman"/>
          <w:sz w:val="24"/>
          <w:szCs w:val="24"/>
        </w:rPr>
        <w:t>***********************</w:t>
      </w:r>
    </w:p>
    <w:p w14:paraId="1F4B0675" w14:textId="7626DF0B" w:rsidR="00297252" w:rsidRPr="00C116A0" w:rsidRDefault="00297252" w:rsidP="00915830">
      <w:pPr>
        <w:spacing w:after="0" w:line="240" w:lineRule="auto"/>
        <w:ind w:left="-283" w:right="-283"/>
        <w:jc w:val="both"/>
        <w:rPr>
          <w:rFonts w:ascii="Times New Roman" w:hAnsi="Times New Roman" w:cs="Times New Roman"/>
          <w:sz w:val="24"/>
          <w:szCs w:val="24"/>
        </w:rPr>
      </w:pPr>
      <w:r w:rsidRPr="00C116A0">
        <w:rPr>
          <w:rFonts w:ascii="Times New Roman" w:hAnsi="Times New Roman" w:cs="Times New Roman"/>
          <w:sz w:val="24"/>
          <w:szCs w:val="24"/>
        </w:rPr>
        <w:t>El presente reporte ha sido preparado en consideración al texto del Proyecto de Ley de Reforma Tributaria presentado por mensaje del Presidente de la República con fecha 7 de julio de 2022</w:t>
      </w:r>
      <w:r w:rsidR="00A02455">
        <w:rPr>
          <w:rFonts w:ascii="Times New Roman" w:hAnsi="Times New Roman" w:cs="Times New Roman"/>
          <w:sz w:val="24"/>
          <w:szCs w:val="24"/>
        </w:rPr>
        <w:t>, y a las indicaciones al Pro</w:t>
      </w:r>
      <w:r w:rsidR="00A5273D">
        <w:rPr>
          <w:rFonts w:ascii="Times New Roman" w:hAnsi="Times New Roman" w:cs="Times New Roman"/>
          <w:sz w:val="24"/>
          <w:szCs w:val="24"/>
        </w:rPr>
        <w:t>y</w:t>
      </w:r>
      <w:r w:rsidR="00A02455">
        <w:rPr>
          <w:rFonts w:ascii="Times New Roman" w:hAnsi="Times New Roman" w:cs="Times New Roman"/>
          <w:sz w:val="24"/>
          <w:szCs w:val="24"/>
        </w:rPr>
        <w:t>ecto de Ley ingresadas con fecha 4 de octubre de 2022</w:t>
      </w:r>
      <w:r w:rsidR="00A5273D">
        <w:rPr>
          <w:rFonts w:ascii="Times New Roman" w:hAnsi="Times New Roman" w:cs="Times New Roman"/>
          <w:sz w:val="24"/>
          <w:szCs w:val="24"/>
        </w:rPr>
        <w:t>.</w:t>
      </w:r>
    </w:p>
    <w:p w14:paraId="1C436BEE" w14:textId="77777777" w:rsidR="00297252" w:rsidRPr="00C116A0" w:rsidRDefault="00297252" w:rsidP="00915830">
      <w:pPr>
        <w:spacing w:after="0" w:line="240" w:lineRule="auto"/>
        <w:ind w:left="-283" w:right="-283"/>
        <w:jc w:val="both"/>
        <w:rPr>
          <w:rFonts w:ascii="Times New Roman" w:hAnsi="Times New Roman" w:cs="Times New Roman"/>
          <w:sz w:val="24"/>
          <w:szCs w:val="24"/>
        </w:rPr>
      </w:pPr>
    </w:p>
    <w:p w14:paraId="6190507E" w14:textId="77777777" w:rsidR="00297252" w:rsidRPr="00C116A0" w:rsidRDefault="00297252" w:rsidP="00915830">
      <w:pPr>
        <w:spacing w:after="0" w:line="240" w:lineRule="auto"/>
        <w:ind w:left="-283" w:right="-283"/>
        <w:jc w:val="both"/>
        <w:rPr>
          <w:rFonts w:ascii="Times New Roman" w:hAnsi="Times New Roman" w:cs="Times New Roman"/>
          <w:sz w:val="24"/>
          <w:szCs w:val="24"/>
        </w:rPr>
      </w:pPr>
      <w:r w:rsidRPr="00C116A0">
        <w:rPr>
          <w:rFonts w:ascii="Times New Roman" w:hAnsi="Times New Roman" w:cs="Times New Roman"/>
          <w:sz w:val="24"/>
          <w:szCs w:val="24"/>
        </w:rPr>
        <w:t xml:space="preserve">La información contenida en el presente reporte es exclusivamente para uso informativo y no constituye una asesoría tributaria ni legal por parte de Mena Alessandri &amp; Asociados. </w:t>
      </w:r>
    </w:p>
    <w:p w14:paraId="786CD31A" w14:textId="77777777" w:rsidR="00297252" w:rsidRPr="00C116A0" w:rsidRDefault="00297252" w:rsidP="00915830">
      <w:pPr>
        <w:spacing w:after="0" w:line="240" w:lineRule="auto"/>
        <w:ind w:left="-283" w:right="-283"/>
        <w:jc w:val="both"/>
        <w:rPr>
          <w:rFonts w:ascii="Times New Roman" w:hAnsi="Times New Roman" w:cs="Times New Roman"/>
          <w:sz w:val="24"/>
          <w:szCs w:val="24"/>
        </w:rPr>
      </w:pPr>
    </w:p>
    <w:p w14:paraId="010FCF02" w14:textId="77777777" w:rsidR="00A5273D" w:rsidRDefault="00297252" w:rsidP="00A5273D">
      <w:pPr>
        <w:spacing w:after="0" w:line="240" w:lineRule="auto"/>
        <w:ind w:left="-283" w:right="-283"/>
        <w:jc w:val="both"/>
        <w:rPr>
          <w:rFonts w:ascii="Times New Roman" w:hAnsi="Times New Roman" w:cs="Times New Roman"/>
          <w:sz w:val="24"/>
          <w:szCs w:val="24"/>
        </w:rPr>
      </w:pPr>
      <w:r w:rsidRPr="00C116A0">
        <w:rPr>
          <w:rFonts w:ascii="Times New Roman" w:hAnsi="Times New Roman" w:cs="Times New Roman"/>
          <w:sz w:val="24"/>
          <w:szCs w:val="24"/>
        </w:rPr>
        <w:t xml:space="preserve">De la misma manera, el presente reporte no implica una opinión ni recomendación por parte de Mena Alessandri &amp; Asociados respecto de la situación particular de los receptores del mismo, ni sobre la aplicación de las citadas normas y regulaciones a dichos receptores. </w:t>
      </w:r>
      <w:r w:rsidR="00A5273D">
        <w:rPr>
          <w:rFonts w:ascii="Times New Roman" w:hAnsi="Times New Roman" w:cs="Times New Roman"/>
          <w:sz w:val="24"/>
          <w:szCs w:val="24"/>
        </w:rPr>
        <w:t xml:space="preserve"> </w:t>
      </w:r>
    </w:p>
    <w:p w14:paraId="4BB3814D" w14:textId="150EDE5B" w:rsidR="00BF3EFD" w:rsidRPr="00E3213B" w:rsidRDefault="00A5273D" w:rsidP="009C7F19">
      <w:pPr>
        <w:jc w:val="center"/>
        <w:rPr>
          <w:rFonts w:ascii="Times New Roman" w:hAnsi="Times New Roman" w:cs="Times New Roman"/>
          <w:b/>
          <w:bCs/>
          <w:sz w:val="24"/>
          <w:szCs w:val="24"/>
        </w:rPr>
      </w:pPr>
      <w:r>
        <w:rPr>
          <w:rFonts w:ascii="Times New Roman" w:hAnsi="Times New Roman" w:cs="Times New Roman"/>
          <w:sz w:val="24"/>
          <w:szCs w:val="24"/>
        </w:rPr>
        <w:br w:type="page"/>
      </w:r>
      <w:r w:rsidR="00E3213B" w:rsidRPr="00E3213B">
        <w:rPr>
          <w:rFonts w:ascii="Times New Roman" w:hAnsi="Times New Roman" w:cs="Times New Roman"/>
          <w:b/>
          <w:bCs/>
          <w:sz w:val="24"/>
          <w:szCs w:val="24"/>
        </w:rPr>
        <w:lastRenderedPageBreak/>
        <w:t>ANEXO</w:t>
      </w:r>
    </w:p>
    <w:p w14:paraId="4AF1FE00" w14:textId="7F62968D" w:rsidR="00E3213B" w:rsidRPr="00E3213B" w:rsidRDefault="00E3213B" w:rsidP="00E3213B">
      <w:pPr>
        <w:spacing w:after="0"/>
        <w:jc w:val="center"/>
        <w:rPr>
          <w:rFonts w:ascii="Times New Roman" w:hAnsi="Times New Roman" w:cs="Times New Roman"/>
          <w:b/>
          <w:bCs/>
          <w:sz w:val="24"/>
          <w:szCs w:val="24"/>
        </w:rPr>
      </w:pPr>
      <w:r w:rsidRPr="00E3213B">
        <w:rPr>
          <w:rFonts w:ascii="Times New Roman" w:hAnsi="Times New Roman" w:cs="Times New Roman"/>
          <w:b/>
          <w:bCs/>
          <w:sz w:val="24"/>
          <w:szCs w:val="24"/>
        </w:rPr>
        <w:t>VALORIZACIÓN DE ACTIVOS</w:t>
      </w:r>
    </w:p>
    <w:p w14:paraId="043690AB" w14:textId="3C58A3E6" w:rsidR="00E3213B" w:rsidRPr="00E3213B" w:rsidRDefault="00E3213B" w:rsidP="00E3213B">
      <w:pPr>
        <w:spacing w:after="0"/>
        <w:jc w:val="center"/>
        <w:rPr>
          <w:rFonts w:ascii="Times New Roman" w:hAnsi="Times New Roman" w:cs="Times New Roman"/>
          <w:b/>
          <w:bCs/>
          <w:sz w:val="24"/>
          <w:szCs w:val="24"/>
        </w:rPr>
      </w:pPr>
    </w:p>
    <w:p w14:paraId="2F9475BD" w14:textId="6D759C90" w:rsidR="00E3213B" w:rsidRDefault="00E3213B" w:rsidP="00915830">
      <w:pPr>
        <w:spacing w:after="0"/>
        <w:jc w:val="both"/>
        <w:rPr>
          <w:rFonts w:ascii="Times New Roman" w:hAnsi="Times New Roman" w:cs="Times New Roman"/>
          <w:sz w:val="24"/>
          <w:szCs w:val="24"/>
        </w:rPr>
      </w:pPr>
    </w:p>
    <w:tbl>
      <w:tblPr>
        <w:tblStyle w:val="Tablaconcuadrcula"/>
        <w:tblW w:w="11624" w:type="dxa"/>
        <w:tblInd w:w="-1423" w:type="dxa"/>
        <w:tblLook w:val="04A0" w:firstRow="1" w:lastRow="0" w:firstColumn="1" w:lastColumn="0" w:noHBand="0" w:noVBand="1"/>
      </w:tblPr>
      <w:tblGrid>
        <w:gridCol w:w="4679"/>
        <w:gridCol w:w="2835"/>
        <w:gridCol w:w="4110"/>
      </w:tblGrid>
      <w:tr w:rsidR="00E3213B" w:rsidRPr="006842D5" w14:paraId="217083A7" w14:textId="77777777" w:rsidTr="00CF6CC2">
        <w:tc>
          <w:tcPr>
            <w:tcW w:w="4679" w:type="dxa"/>
          </w:tcPr>
          <w:p w14:paraId="40A7CB16" w14:textId="77777777" w:rsidR="00E3213B" w:rsidRPr="006842D5" w:rsidRDefault="00E3213B" w:rsidP="00CF6CC2">
            <w:pPr>
              <w:jc w:val="center"/>
              <w:rPr>
                <w:rFonts w:ascii="Times New Roman" w:hAnsi="Times New Roman" w:cs="Times New Roman"/>
                <w:b/>
                <w:bCs/>
                <w:sz w:val="20"/>
                <w:szCs w:val="20"/>
              </w:rPr>
            </w:pPr>
            <w:bookmarkStart w:id="0" w:name="_Hlk115968435"/>
            <w:r w:rsidRPr="006842D5">
              <w:rPr>
                <w:rFonts w:ascii="Times New Roman" w:hAnsi="Times New Roman" w:cs="Times New Roman"/>
                <w:b/>
                <w:bCs/>
                <w:sz w:val="20"/>
                <w:szCs w:val="20"/>
              </w:rPr>
              <w:t>ACTIVO</w:t>
            </w:r>
          </w:p>
        </w:tc>
        <w:tc>
          <w:tcPr>
            <w:tcW w:w="2835" w:type="dxa"/>
          </w:tcPr>
          <w:p w14:paraId="0026D147" w14:textId="77777777" w:rsidR="00E3213B" w:rsidRPr="006842D5" w:rsidRDefault="00E3213B" w:rsidP="00CF6CC2">
            <w:pPr>
              <w:jc w:val="center"/>
              <w:rPr>
                <w:rFonts w:ascii="Times New Roman" w:hAnsi="Times New Roman" w:cs="Times New Roman"/>
                <w:b/>
                <w:bCs/>
                <w:sz w:val="20"/>
                <w:szCs w:val="20"/>
              </w:rPr>
            </w:pPr>
            <w:r w:rsidRPr="006842D5">
              <w:rPr>
                <w:rFonts w:ascii="Times New Roman" w:hAnsi="Times New Roman" w:cs="Times New Roman"/>
                <w:b/>
                <w:bCs/>
                <w:sz w:val="20"/>
                <w:szCs w:val="20"/>
              </w:rPr>
              <w:t>DETALLE</w:t>
            </w:r>
          </w:p>
        </w:tc>
        <w:tc>
          <w:tcPr>
            <w:tcW w:w="4110" w:type="dxa"/>
          </w:tcPr>
          <w:p w14:paraId="6C3752CD" w14:textId="77777777" w:rsidR="00E3213B" w:rsidRPr="006842D5" w:rsidRDefault="00E3213B" w:rsidP="00CF6CC2">
            <w:pPr>
              <w:jc w:val="center"/>
              <w:rPr>
                <w:rFonts w:ascii="Times New Roman" w:hAnsi="Times New Roman" w:cs="Times New Roman"/>
                <w:b/>
                <w:bCs/>
                <w:sz w:val="20"/>
                <w:szCs w:val="20"/>
              </w:rPr>
            </w:pPr>
            <w:r w:rsidRPr="006842D5">
              <w:rPr>
                <w:rFonts w:ascii="Times New Roman" w:hAnsi="Times New Roman" w:cs="Times New Roman"/>
                <w:b/>
                <w:bCs/>
                <w:sz w:val="20"/>
                <w:szCs w:val="20"/>
              </w:rPr>
              <w:t>VALOR</w:t>
            </w:r>
          </w:p>
        </w:tc>
      </w:tr>
      <w:tr w:rsidR="00E3213B" w:rsidRPr="006842D5" w14:paraId="654F6F67" w14:textId="77777777" w:rsidTr="00CF6CC2">
        <w:tc>
          <w:tcPr>
            <w:tcW w:w="4679" w:type="dxa"/>
          </w:tcPr>
          <w:p w14:paraId="74776539" w14:textId="77777777" w:rsidR="00E3213B" w:rsidRPr="006842D5" w:rsidRDefault="00E3213B" w:rsidP="00CF6CC2">
            <w:pPr>
              <w:jc w:val="both"/>
              <w:rPr>
                <w:rFonts w:ascii="Times New Roman" w:hAnsi="Times New Roman" w:cs="Times New Roman"/>
                <w:sz w:val="20"/>
                <w:szCs w:val="20"/>
              </w:rPr>
            </w:pPr>
            <w:r w:rsidRPr="006842D5">
              <w:rPr>
                <w:rFonts w:ascii="Times New Roman" w:hAnsi="Times New Roman" w:cs="Times New Roman"/>
                <w:sz w:val="20"/>
                <w:szCs w:val="20"/>
              </w:rPr>
              <w:t>Acciones, cuotas o derechos en empresas, o cualquier otra entidad con o sin personalidad jurídica (“entidades”), constituida en Chile</w:t>
            </w:r>
            <w:r>
              <w:rPr>
                <w:rFonts w:ascii="Times New Roman" w:hAnsi="Times New Roman" w:cs="Times New Roman"/>
                <w:sz w:val="20"/>
                <w:szCs w:val="20"/>
              </w:rPr>
              <w:t xml:space="preserve"> o en el extranjero</w:t>
            </w:r>
            <w:r w:rsidRPr="006842D5">
              <w:rPr>
                <w:rFonts w:ascii="Times New Roman" w:hAnsi="Times New Roman" w:cs="Times New Roman"/>
                <w:sz w:val="20"/>
                <w:szCs w:val="20"/>
              </w:rPr>
              <w:t>, sin presencia bursátil, que cuente con EE.FF</w:t>
            </w:r>
            <w:r>
              <w:rPr>
                <w:rFonts w:ascii="Times New Roman" w:hAnsi="Times New Roman" w:cs="Times New Roman"/>
                <w:sz w:val="20"/>
                <w:szCs w:val="20"/>
              </w:rPr>
              <w:t>.</w:t>
            </w:r>
            <w:r w:rsidRPr="006842D5">
              <w:rPr>
                <w:rFonts w:ascii="Times New Roman" w:hAnsi="Times New Roman" w:cs="Times New Roman"/>
                <w:sz w:val="20"/>
                <w:szCs w:val="20"/>
              </w:rPr>
              <w:t xml:space="preserve"> auditados. </w:t>
            </w:r>
          </w:p>
        </w:tc>
        <w:tc>
          <w:tcPr>
            <w:tcW w:w="2835" w:type="dxa"/>
          </w:tcPr>
          <w:p w14:paraId="23732775" w14:textId="77777777" w:rsidR="00E3213B" w:rsidRPr="006842D5" w:rsidRDefault="00E3213B" w:rsidP="00CF6CC2">
            <w:pPr>
              <w:jc w:val="both"/>
              <w:rPr>
                <w:rFonts w:ascii="Times New Roman" w:hAnsi="Times New Roman" w:cs="Times New Roman"/>
                <w:sz w:val="20"/>
                <w:szCs w:val="20"/>
              </w:rPr>
            </w:pPr>
          </w:p>
        </w:tc>
        <w:tc>
          <w:tcPr>
            <w:tcW w:w="4110" w:type="dxa"/>
          </w:tcPr>
          <w:p w14:paraId="13BD6EC6" w14:textId="77777777" w:rsidR="00E3213B" w:rsidRPr="006842D5" w:rsidRDefault="00E3213B" w:rsidP="00CF6CC2">
            <w:pPr>
              <w:jc w:val="both"/>
              <w:rPr>
                <w:rFonts w:ascii="Times New Roman" w:hAnsi="Times New Roman" w:cs="Times New Roman"/>
                <w:sz w:val="20"/>
                <w:szCs w:val="20"/>
              </w:rPr>
            </w:pPr>
            <w:r w:rsidRPr="006842D5">
              <w:rPr>
                <w:rFonts w:ascii="Times New Roman" w:hAnsi="Times New Roman" w:cs="Times New Roman"/>
                <w:sz w:val="20"/>
                <w:szCs w:val="20"/>
              </w:rPr>
              <w:t>Cantidad mayor entre el valor del capital propio tributario (“CPT”) de la entidad emisora y el de su patrimonio financiero al 31 de diciembre del año comercial respectivo en la proporción que corresponda al porcentaje de las acciones, cuotas o derechos del contribuyente.</w:t>
            </w:r>
            <w:r>
              <w:rPr>
                <w:rFonts w:ascii="Times New Roman" w:hAnsi="Times New Roman" w:cs="Times New Roman"/>
                <w:sz w:val="20"/>
                <w:szCs w:val="20"/>
              </w:rPr>
              <w:t xml:space="preserve"> </w:t>
            </w:r>
          </w:p>
        </w:tc>
      </w:tr>
      <w:tr w:rsidR="00E3213B" w:rsidRPr="006842D5" w14:paraId="1A1F5500" w14:textId="77777777" w:rsidTr="00CF6CC2">
        <w:tc>
          <w:tcPr>
            <w:tcW w:w="4679" w:type="dxa"/>
            <w:vMerge w:val="restart"/>
          </w:tcPr>
          <w:p w14:paraId="3371BB94" w14:textId="77777777" w:rsidR="00E3213B" w:rsidRDefault="00E3213B" w:rsidP="00CF6CC2">
            <w:pPr>
              <w:jc w:val="both"/>
              <w:rPr>
                <w:rFonts w:ascii="Times New Roman" w:hAnsi="Times New Roman" w:cs="Times New Roman"/>
                <w:sz w:val="20"/>
                <w:szCs w:val="20"/>
              </w:rPr>
            </w:pPr>
            <w:r w:rsidRPr="006842D5">
              <w:rPr>
                <w:rFonts w:ascii="Times New Roman" w:hAnsi="Times New Roman" w:cs="Times New Roman"/>
                <w:sz w:val="20"/>
                <w:szCs w:val="20"/>
              </w:rPr>
              <w:t xml:space="preserve">Los activos subyacentes de una entidad deben ser valorizados cuando la entidad no cuente con EE.FF. auditados, y en otros casos establecidos.  </w:t>
            </w:r>
          </w:p>
          <w:p w14:paraId="2D35EB97" w14:textId="77777777" w:rsidR="00E3213B" w:rsidRDefault="00E3213B" w:rsidP="00CF6CC2">
            <w:pPr>
              <w:jc w:val="both"/>
              <w:rPr>
                <w:rFonts w:ascii="Times New Roman" w:hAnsi="Times New Roman" w:cs="Times New Roman"/>
                <w:sz w:val="20"/>
                <w:szCs w:val="20"/>
              </w:rPr>
            </w:pPr>
          </w:p>
          <w:p w14:paraId="089BDCFF" w14:textId="77777777" w:rsidR="00E3213B" w:rsidRPr="006842D5" w:rsidRDefault="00E3213B" w:rsidP="00CF6CC2">
            <w:pPr>
              <w:jc w:val="both"/>
              <w:rPr>
                <w:rFonts w:ascii="Times New Roman" w:hAnsi="Times New Roman" w:cs="Times New Roman"/>
                <w:sz w:val="20"/>
                <w:szCs w:val="20"/>
              </w:rPr>
            </w:pPr>
            <w:r w:rsidRPr="006842D5">
              <w:rPr>
                <w:rFonts w:ascii="Times New Roman" w:hAnsi="Times New Roman" w:cs="Times New Roman"/>
                <w:sz w:val="20"/>
                <w:szCs w:val="20"/>
              </w:rPr>
              <w:t>En el caso de entidades constituidas o domiciliadas en el extranjero, se deberán valorizar siempre sus activos subyacentes cuando la entidad esté domiciliada en un país que se considere tener un régimen fiscal preferente de los establecidos en el artículo 41 H de la Ley de Impuesto a la Renta</w:t>
            </w:r>
            <w:r>
              <w:rPr>
                <w:rFonts w:ascii="Times New Roman" w:hAnsi="Times New Roman" w:cs="Times New Roman"/>
                <w:sz w:val="20"/>
                <w:szCs w:val="20"/>
              </w:rPr>
              <w:t xml:space="preserve"> (“LIR”). </w:t>
            </w:r>
          </w:p>
        </w:tc>
        <w:tc>
          <w:tcPr>
            <w:tcW w:w="2835" w:type="dxa"/>
          </w:tcPr>
          <w:p w14:paraId="5E79CDA5" w14:textId="77777777" w:rsidR="00E3213B" w:rsidRPr="006842D5" w:rsidRDefault="00E3213B" w:rsidP="00CF6CC2">
            <w:pPr>
              <w:jc w:val="both"/>
              <w:rPr>
                <w:rFonts w:ascii="Times New Roman" w:hAnsi="Times New Roman" w:cs="Times New Roman"/>
                <w:sz w:val="20"/>
                <w:szCs w:val="20"/>
              </w:rPr>
            </w:pPr>
            <w:r w:rsidRPr="006842D5">
              <w:rPr>
                <w:rFonts w:ascii="Times New Roman" w:hAnsi="Times New Roman" w:cs="Times New Roman"/>
                <w:sz w:val="20"/>
                <w:szCs w:val="20"/>
              </w:rPr>
              <w:t>Si la entidad mantiene propiedad directa o indirecta en entidades fiscalizadas por la Comisión para el Mercado Financiero (“CMF”), o no sea fiscalizada por la CMF pero que cuenta con EE.FF. auditados.</w:t>
            </w:r>
          </w:p>
        </w:tc>
        <w:tc>
          <w:tcPr>
            <w:tcW w:w="4110" w:type="dxa"/>
          </w:tcPr>
          <w:p w14:paraId="01D316D3" w14:textId="77777777" w:rsidR="00E3213B" w:rsidRPr="006842D5" w:rsidRDefault="00E3213B" w:rsidP="00CF6CC2">
            <w:pPr>
              <w:jc w:val="both"/>
              <w:rPr>
                <w:rFonts w:ascii="Times New Roman" w:hAnsi="Times New Roman" w:cs="Times New Roman"/>
                <w:sz w:val="20"/>
                <w:szCs w:val="20"/>
              </w:rPr>
            </w:pPr>
            <w:r w:rsidRPr="006842D5">
              <w:rPr>
                <w:rFonts w:ascii="Times New Roman" w:hAnsi="Times New Roman" w:cs="Times New Roman"/>
                <w:sz w:val="20"/>
                <w:szCs w:val="20"/>
              </w:rPr>
              <w:t>Suma que resulte de multiplicar el % de propiedad indirecta que el contribuyente mantiene en dichas entidades, aplicado sobre su patrimonio financiero.</w:t>
            </w:r>
            <w:r>
              <w:rPr>
                <w:rFonts w:ascii="Times New Roman" w:hAnsi="Times New Roman" w:cs="Times New Roman"/>
                <w:sz w:val="20"/>
                <w:szCs w:val="20"/>
              </w:rPr>
              <w:t xml:space="preserve"> Procede deducir los pasivos que la empresa mantenga al cierre del ejercicio, en la proporción que le corresponda.</w:t>
            </w:r>
          </w:p>
        </w:tc>
      </w:tr>
      <w:tr w:rsidR="00E3213B" w:rsidRPr="006842D5" w14:paraId="2709AC0F" w14:textId="77777777" w:rsidTr="00CF6CC2">
        <w:tc>
          <w:tcPr>
            <w:tcW w:w="4679" w:type="dxa"/>
            <w:vMerge/>
          </w:tcPr>
          <w:p w14:paraId="3F0CAB42" w14:textId="77777777" w:rsidR="00E3213B" w:rsidRPr="006842D5" w:rsidRDefault="00E3213B" w:rsidP="00CF6CC2">
            <w:pPr>
              <w:jc w:val="both"/>
              <w:rPr>
                <w:rFonts w:ascii="Times New Roman" w:hAnsi="Times New Roman" w:cs="Times New Roman"/>
                <w:sz w:val="20"/>
                <w:szCs w:val="20"/>
              </w:rPr>
            </w:pPr>
          </w:p>
        </w:tc>
        <w:tc>
          <w:tcPr>
            <w:tcW w:w="2835" w:type="dxa"/>
          </w:tcPr>
          <w:p w14:paraId="6412CDAE" w14:textId="77777777" w:rsidR="00E3213B" w:rsidRPr="006842D5" w:rsidRDefault="00E3213B" w:rsidP="00CF6CC2">
            <w:pPr>
              <w:jc w:val="both"/>
              <w:rPr>
                <w:rFonts w:ascii="Times New Roman" w:hAnsi="Times New Roman" w:cs="Times New Roman"/>
                <w:sz w:val="20"/>
                <w:szCs w:val="20"/>
              </w:rPr>
            </w:pPr>
            <w:r w:rsidRPr="006842D5">
              <w:rPr>
                <w:rFonts w:ascii="Times New Roman" w:hAnsi="Times New Roman" w:cs="Times New Roman"/>
                <w:sz w:val="20"/>
                <w:szCs w:val="20"/>
              </w:rPr>
              <w:t>Si la entidad mantiene propiedad directa o indirecta en entidades no fiscalizadas por la CMF ni que tengan EE.FF. auditados.</w:t>
            </w:r>
          </w:p>
        </w:tc>
        <w:tc>
          <w:tcPr>
            <w:tcW w:w="4110" w:type="dxa"/>
          </w:tcPr>
          <w:p w14:paraId="406969B9" w14:textId="77777777" w:rsidR="00E3213B" w:rsidRPr="006842D5" w:rsidRDefault="00E3213B" w:rsidP="00CF6CC2">
            <w:pPr>
              <w:jc w:val="both"/>
              <w:rPr>
                <w:rFonts w:ascii="Times New Roman" w:hAnsi="Times New Roman" w:cs="Times New Roman"/>
                <w:sz w:val="20"/>
                <w:szCs w:val="20"/>
              </w:rPr>
            </w:pPr>
            <w:r w:rsidRPr="006842D5">
              <w:rPr>
                <w:rFonts w:ascii="Times New Roman" w:hAnsi="Times New Roman" w:cs="Times New Roman"/>
                <w:sz w:val="20"/>
                <w:szCs w:val="20"/>
              </w:rPr>
              <w:t>Tasación o informe elaborado por agentes independientes que cumpla con los requisitos establecidos por el SII mediante resolución.</w:t>
            </w:r>
            <w:r>
              <w:rPr>
                <w:rFonts w:ascii="Times New Roman" w:hAnsi="Times New Roman" w:cs="Times New Roman"/>
                <w:sz w:val="20"/>
                <w:szCs w:val="20"/>
              </w:rPr>
              <w:t xml:space="preserve"> Procede deducir los pasivos que la empresa mantenga al cierre del ejercicio, en la proporción que le corresponda.</w:t>
            </w:r>
          </w:p>
        </w:tc>
      </w:tr>
      <w:tr w:rsidR="00E3213B" w:rsidRPr="006842D5" w14:paraId="6B49C974" w14:textId="77777777" w:rsidTr="00CF6CC2">
        <w:tc>
          <w:tcPr>
            <w:tcW w:w="4679" w:type="dxa"/>
            <w:vMerge/>
          </w:tcPr>
          <w:p w14:paraId="391A8AB9" w14:textId="77777777" w:rsidR="00E3213B" w:rsidRPr="006842D5" w:rsidRDefault="00E3213B" w:rsidP="00CF6CC2">
            <w:pPr>
              <w:jc w:val="both"/>
              <w:rPr>
                <w:rFonts w:ascii="Times New Roman" w:hAnsi="Times New Roman" w:cs="Times New Roman"/>
                <w:sz w:val="20"/>
                <w:szCs w:val="20"/>
              </w:rPr>
            </w:pPr>
          </w:p>
        </w:tc>
        <w:tc>
          <w:tcPr>
            <w:tcW w:w="2835" w:type="dxa"/>
          </w:tcPr>
          <w:p w14:paraId="4A48BBCA" w14:textId="77777777" w:rsidR="00E3213B" w:rsidRPr="006842D5" w:rsidRDefault="00E3213B" w:rsidP="00CF6CC2">
            <w:pPr>
              <w:jc w:val="both"/>
              <w:rPr>
                <w:rFonts w:ascii="Times New Roman" w:hAnsi="Times New Roman" w:cs="Times New Roman"/>
                <w:sz w:val="20"/>
                <w:szCs w:val="20"/>
              </w:rPr>
            </w:pPr>
            <w:r w:rsidRPr="006842D5">
              <w:rPr>
                <w:rFonts w:ascii="Times New Roman" w:hAnsi="Times New Roman" w:cs="Times New Roman"/>
                <w:sz w:val="20"/>
                <w:szCs w:val="20"/>
              </w:rPr>
              <w:t>Si la entidad mantiene propiedad directa en acciones u otros instrumentos con cotización bursátil.</w:t>
            </w:r>
          </w:p>
        </w:tc>
        <w:tc>
          <w:tcPr>
            <w:tcW w:w="4110" w:type="dxa"/>
          </w:tcPr>
          <w:p w14:paraId="63591364" w14:textId="77777777" w:rsidR="00E3213B" w:rsidRPr="006842D5" w:rsidRDefault="00E3213B" w:rsidP="00CF6CC2">
            <w:pPr>
              <w:jc w:val="both"/>
              <w:rPr>
                <w:rFonts w:ascii="Times New Roman" w:hAnsi="Times New Roman" w:cs="Times New Roman"/>
                <w:sz w:val="20"/>
                <w:szCs w:val="20"/>
              </w:rPr>
            </w:pPr>
            <w:r w:rsidRPr="006842D5">
              <w:rPr>
                <w:rFonts w:ascii="Times New Roman" w:hAnsi="Times New Roman" w:cs="Times New Roman"/>
                <w:sz w:val="20"/>
                <w:szCs w:val="20"/>
              </w:rPr>
              <w:t>Según el precio promedio que se registre en el mercado dentro del segundo semestre del año calendario respectivo.</w:t>
            </w:r>
            <w:r>
              <w:rPr>
                <w:rFonts w:ascii="Times New Roman" w:hAnsi="Times New Roman" w:cs="Times New Roman"/>
                <w:sz w:val="20"/>
                <w:szCs w:val="20"/>
              </w:rPr>
              <w:t xml:space="preserve"> Procede deducir los pasivos que la empresa mantenga al cierre del ejercicio, en la proporción que le corresponda.</w:t>
            </w:r>
          </w:p>
        </w:tc>
      </w:tr>
      <w:tr w:rsidR="00E3213B" w:rsidRPr="006842D5" w14:paraId="411AD81A" w14:textId="77777777" w:rsidTr="00CF6CC2">
        <w:tc>
          <w:tcPr>
            <w:tcW w:w="4679" w:type="dxa"/>
          </w:tcPr>
          <w:p w14:paraId="08C25716" w14:textId="77777777" w:rsidR="00E3213B" w:rsidRPr="006842D5" w:rsidRDefault="00E3213B" w:rsidP="00CF6CC2">
            <w:pPr>
              <w:jc w:val="both"/>
              <w:rPr>
                <w:rFonts w:ascii="Times New Roman" w:hAnsi="Times New Roman" w:cs="Times New Roman"/>
                <w:sz w:val="20"/>
                <w:szCs w:val="20"/>
              </w:rPr>
            </w:pPr>
            <w:r w:rsidRPr="006842D5">
              <w:rPr>
                <w:rFonts w:ascii="Times New Roman" w:hAnsi="Times New Roman" w:cs="Times New Roman"/>
                <w:sz w:val="20"/>
                <w:szCs w:val="20"/>
              </w:rPr>
              <w:t>Activos de las entidades que sean controlados contable o tributariamente y este valor difiera notoriamente de su valor económico.</w:t>
            </w:r>
          </w:p>
        </w:tc>
        <w:tc>
          <w:tcPr>
            <w:tcW w:w="2835" w:type="dxa"/>
          </w:tcPr>
          <w:p w14:paraId="2293A8DB" w14:textId="77777777" w:rsidR="00E3213B" w:rsidRPr="006842D5" w:rsidRDefault="00E3213B" w:rsidP="00CF6CC2">
            <w:pPr>
              <w:jc w:val="both"/>
              <w:rPr>
                <w:rFonts w:ascii="Times New Roman" w:hAnsi="Times New Roman" w:cs="Times New Roman"/>
                <w:sz w:val="20"/>
                <w:szCs w:val="20"/>
              </w:rPr>
            </w:pPr>
          </w:p>
        </w:tc>
        <w:tc>
          <w:tcPr>
            <w:tcW w:w="4110" w:type="dxa"/>
          </w:tcPr>
          <w:p w14:paraId="15C1A670" w14:textId="77777777" w:rsidR="00E3213B" w:rsidRPr="006842D5" w:rsidRDefault="00E3213B" w:rsidP="00CF6CC2">
            <w:pPr>
              <w:jc w:val="both"/>
              <w:rPr>
                <w:rFonts w:ascii="Times New Roman" w:hAnsi="Times New Roman" w:cs="Times New Roman"/>
                <w:sz w:val="20"/>
                <w:szCs w:val="20"/>
              </w:rPr>
            </w:pPr>
            <w:r w:rsidRPr="006842D5">
              <w:rPr>
                <w:rFonts w:ascii="Times New Roman" w:hAnsi="Times New Roman" w:cs="Times New Roman"/>
                <w:sz w:val="20"/>
                <w:szCs w:val="20"/>
              </w:rPr>
              <w:t>Valorizarse según la naturaleza del activo.</w:t>
            </w:r>
          </w:p>
        </w:tc>
      </w:tr>
      <w:tr w:rsidR="00E3213B" w:rsidRPr="006842D5" w14:paraId="7C789DFC" w14:textId="77777777" w:rsidTr="00CF6CC2">
        <w:tc>
          <w:tcPr>
            <w:tcW w:w="4679" w:type="dxa"/>
          </w:tcPr>
          <w:p w14:paraId="3DE126E0" w14:textId="77777777" w:rsidR="00E3213B" w:rsidRPr="006842D5" w:rsidRDefault="00E3213B" w:rsidP="00CF6CC2">
            <w:pPr>
              <w:jc w:val="both"/>
              <w:rPr>
                <w:rFonts w:ascii="Times New Roman" w:hAnsi="Times New Roman" w:cs="Times New Roman"/>
                <w:sz w:val="20"/>
                <w:szCs w:val="20"/>
              </w:rPr>
            </w:pPr>
            <w:r w:rsidRPr="006842D5">
              <w:rPr>
                <w:rFonts w:ascii="Times New Roman" w:hAnsi="Times New Roman" w:cs="Times New Roman"/>
                <w:sz w:val="20"/>
                <w:szCs w:val="20"/>
              </w:rPr>
              <w:t>Acciones, cuotas, derechos o cualquier título sobre entidades constituidas en Chile o el extranjero; bonos y demás títulos de crédito, valores, instrumentos y cualquier otro activo que se transe en Chile o en el extranjero en mercado regulado por entidades públicas del país respectivo.</w:t>
            </w:r>
          </w:p>
        </w:tc>
        <w:tc>
          <w:tcPr>
            <w:tcW w:w="2835" w:type="dxa"/>
          </w:tcPr>
          <w:p w14:paraId="019D3985" w14:textId="77777777" w:rsidR="00E3213B" w:rsidRPr="006842D5" w:rsidRDefault="00E3213B" w:rsidP="00CF6CC2">
            <w:pPr>
              <w:jc w:val="both"/>
              <w:rPr>
                <w:rFonts w:ascii="Times New Roman" w:hAnsi="Times New Roman" w:cs="Times New Roman"/>
                <w:sz w:val="20"/>
                <w:szCs w:val="20"/>
              </w:rPr>
            </w:pPr>
          </w:p>
        </w:tc>
        <w:tc>
          <w:tcPr>
            <w:tcW w:w="4110" w:type="dxa"/>
          </w:tcPr>
          <w:p w14:paraId="07B44424" w14:textId="77777777" w:rsidR="00E3213B" w:rsidRPr="006842D5" w:rsidRDefault="00E3213B" w:rsidP="00CF6CC2">
            <w:pPr>
              <w:jc w:val="both"/>
              <w:rPr>
                <w:rFonts w:ascii="Times New Roman" w:hAnsi="Times New Roman" w:cs="Times New Roman"/>
                <w:sz w:val="20"/>
                <w:szCs w:val="20"/>
              </w:rPr>
            </w:pPr>
            <w:r w:rsidRPr="006842D5">
              <w:rPr>
                <w:rFonts w:ascii="Times New Roman" w:hAnsi="Times New Roman" w:cs="Times New Roman"/>
                <w:sz w:val="20"/>
                <w:szCs w:val="20"/>
              </w:rPr>
              <w:t>Según el precio promedio que se registre en el mercado dentro del segundo semestre del año calendario respectivo.</w:t>
            </w:r>
          </w:p>
          <w:p w14:paraId="29A6BB9F" w14:textId="77777777" w:rsidR="00E3213B" w:rsidRPr="006842D5" w:rsidRDefault="00E3213B" w:rsidP="00CF6CC2">
            <w:pPr>
              <w:jc w:val="both"/>
              <w:rPr>
                <w:rFonts w:ascii="Times New Roman" w:hAnsi="Times New Roman" w:cs="Times New Roman"/>
                <w:sz w:val="20"/>
                <w:szCs w:val="20"/>
              </w:rPr>
            </w:pPr>
          </w:p>
        </w:tc>
      </w:tr>
      <w:tr w:rsidR="00E3213B" w:rsidRPr="006842D5" w14:paraId="5863EF79" w14:textId="77777777" w:rsidTr="00CF6CC2">
        <w:tc>
          <w:tcPr>
            <w:tcW w:w="4679" w:type="dxa"/>
            <w:vMerge w:val="restart"/>
          </w:tcPr>
          <w:p w14:paraId="3A51BF3A" w14:textId="77777777" w:rsidR="00E3213B" w:rsidRPr="006842D5" w:rsidRDefault="00E3213B" w:rsidP="00CF6CC2">
            <w:pPr>
              <w:jc w:val="center"/>
              <w:rPr>
                <w:rFonts w:ascii="Times New Roman" w:hAnsi="Times New Roman" w:cs="Times New Roman"/>
                <w:sz w:val="20"/>
                <w:szCs w:val="20"/>
              </w:rPr>
            </w:pPr>
          </w:p>
          <w:p w14:paraId="6D21DAE0" w14:textId="77777777" w:rsidR="00E3213B" w:rsidRPr="006842D5" w:rsidRDefault="00E3213B" w:rsidP="00CF6CC2">
            <w:pPr>
              <w:jc w:val="center"/>
              <w:rPr>
                <w:rFonts w:ascii="Times New Roman" w:hAnsi="Times New Roman" w:cs="Times New Roman"/>
                <w:sz w:val="20"/>
                <w:szCs w:val="20"/>
              </w:rPr>
            </w:pPr>
          </w:p>
          <w:p w14:paraId="46D6B62A" w14:textId="77777777" w:rsidR="00E3213B" w:rsidRPr="006842D5" w:rsidRDefault="00E3213B" w:rsidP="00CF6CC2">
            <w:pPr>
              <w:jc w:val="center"/>
              <w:rPr>
                <w:rFonts w:ascii="Times New Roman" w:hAnsi="Times New Roman" w:cs="Times New Roman"/>
                <w:sz w:val="20"/>
                <w:szCs w:val="20"/>
              </w:rPr>
            </w:pPr>
          </w:p>
          <w:p w14:paraId="36174D96" w14:textId="77777777" w:rsidR="00E3213B" w:rsidRPr="006842D5" w:rsidRDefault="00E3213B" w:rsidP="00CF6CC2">
            <w:pPr>
              <w:jc w:val="center"/>
              <w:rPr>
                <w:rFonts w:ascii="Times New Roman" w:hAnsi="Times New Roman" w:cs="Times New Roman"/>
                <w:sz w:val="20"/>
                <w:szCs w:val="20"/>
              </w:rPr>
            </w:pPr>
            <w:r w:rsidRPr="006842D5">
              <w:rPr>
                <w:rFonts w:ascii="Times New Roman" w:hAnsi="Times New Roman" w:cs="Times New Roman"/>
                <w:sz w:val="20"/>
                <w:szCs w:val="20"/>
              </w:rPr>
              <w:t>Bienes inmuebles ubicados en Chile</w:t>
            </w:r>
          </w:p>
        </w:tc>
        <w:tc>
          <w:tcPr>
            <w:tcW w:w="2835" w:type="dxa"/>
          </w:tcPr>
          <w:p w14:paraId="370855A6" w14:textId="77777777" w:rsidR="00E3213B" w:rsidRPr="006842D5" w:rsidRDefault="00E3213B" w:rsidP="00CF6CC2">
            <w:pPr>
              <w:jc w:val="both"/>
              <w:rPr>
                <w:rFonts w:ascii="Times New Roman" w:hAnsi="Times New Roman" w:cs="Times New Roman"/>
                <w:sz w:val="20"/>
                <w:szCs w:val="20"/>
              </w:rPr>
            </w:pPr>
          </w:p>
        </w:tc>
        <w:tc>
          <w:tcPr>
            <w:tcW w:w="4110" w:type="dxa"/>
          </w:tcPr>
          <w:p w14:paraId="55CA9932" w14:textId="77777777" w:rsidR="00E3213B" w:rsidRPr="006842D5" w:rsidRDefault="00E3213B" w:rsidP="00CF6CC2">
            <w:pPr>
              <w:jc w:val="both"/>
              <w:rPr>
                <w:rFonts w:ascii="Times New Roman" w:hAnsi="Times New Roman" w:cs="Times New Roman"/>
                <w:sz w:val="20"/>
                <w:szCs w:val="20"/>
              </w:rPr>
            </w:pPr>
            <w:r w:rsidRPr="006842D5">
              <w:rPr>
                <w:rFonts w:ascii="Times New Roman" w:hAnsi="Times New Roman" w:cs="Times New Roman"/>
                <w:sz w:val="20"/>
                <w:szCs w:val="20"/>
              </w:rPr>
              <w:t>Avalúo fiscal correspondiente al segundo semestre del año comercial respectivo.</w:t>
            </w:r>
          </w:p>
        </w:tc>
      </w:tr>
      <w:tr w:rsidR="00E3213B" w:rsidRPr="006842D5" w14:paraId="119FF6B2" w14:textId="77777777" w:rsidTr="00CF6CC2">
        <w:tc>
          <w:tcPr>
            <w:tcW w:w="4679" w:type="dxa"/>
            <w:vMerge/>
          </w:tcPr>
          <w:p w14:paraId="0CE6ECC5" w14:textId="77777777" w:rsidR="00E3213B" w:rsidRPr="006842D5" w:rsidRDefault="00E3213B" w:rsidP="00CF6CC2">
            <w:pPr>
              <w:jc w:val="center"/>
              <w:rPr>
                <w:rFonts w:ascii="Times New Roman" w:hAnsi="Times New Roman" w:cs="Times New Roman"/>
                <w:sz w:val="20"/>
                <w:szCs w:val="20"/>
              </w:rPr>
            </w:pPr>
          </w:p>
        </w:tc>
        <w:tc>
          <w:tcPr>
            <w:tcW w:w="2835" w:type="dxa"/>
          </w:tcPr>
          <w:p w14:paraId="1216060E" w14:textId="77777777" w:rsidR="00E3213B" w:rsidRPr="006842D5" w:rsidRDefault="00E3213B" w:rsidP="00CF6CC2">
            <w:pPr>
              <w:jc w:val="both"/>
              <w:rPr>
                <w:rFonts w:ascii="Times New Roman" w:hAnsi="Times New Roman" w:cs="Times New Roman"/>
                <w:sz w:val="20"/>
                <w:szCs w:val="20"/>
              </w:rPr>
            </w:pPr>
            <w:r w:rsidRPr="006842D5">
              <w:rPr>
                <w:rFonts w:ascii="Times New Roman" w:hAnsi="Times New Roman" w:cs="Times New Roman"/>
                <w:sz w:val="20"/>
                <w:szCs w:val="20"/>
              </w:rPr>
              <w:t>Adquirido dentro de los 3 años anteriores al cierre del ejercicio respectivo.</w:t>
            </w:r>
          </w:p>
        </w:tc>
        <w:tc>
          <w:tcPr>
            <w:tcW w:w="4110" w:type="dxa"/>
          </w:tcPr>
          <w:p w14:paraId="71F2FB4F" w14:textId="77777777" w:rsidR="00E3213B" w:rsidRPr="006842D5" w:rsidRDefault="00E3213B" w:rsidP="00CF6CC2">
            <w:pPr>
              <w:jc w:val="both"/>
              <w:rPr>
                <w:rFonts w:ascii="Times New Roman" w:hAnsi="Times New Roman" w:cs="Times New Roman"/>
                <w:sz w:val="20"/>
                <w:szCs w:val="20"/>
              </w:rPr>
            </w:pPr>
            <w:r w:rsidRPr="006842D5">
              <w:rPr>
                <w:rFonts w:ascii="Times New Roman" w:hAnsi="Times New Roman" w:cs="Times New Roman"/>
                <w:sz w:val="20"/>
                <w:szCs w:val="20"/>
              </w:rPr>
              <w:t xml:space="preserve">Valor de adquisición debidamente reajustado por el porcentaje de variación experimentado por el IPC entre el mes anterior al de adquisición y el 31 de noviembre del año respectivo </w:t>
            </w:r>
          </w:p>
        </w:tc>
      </w:tr>
      <w:tr w:rsidR="00E3213B" w:rsidRPr="006842D5" w14:paraId="74CDEC85" w14:textId="77777777" w:rsidTr="00CF6CC2">
        <w:tc>
          <w:tcPr>
            <w:tcW w:w="4679" w:type="dxa"/>
          </w:tcPr>
          <w:p w14:paraId="40C7BAD8" w14:textId="77777777" w:rsidR="00E3213B" w:rsidRPr="006842D5" w:rsidRDefault="00E3213B" w:rsidP="00CF6CC2">
            <w:pPr>
              <w:jc w:val="center"/>
              <w:rPr>
                <w:rFonts w:ascii="Times New Roman" w:hAnsi="Times New Roman" w:cs="Times New Roman"/>
                <w:sz w:val="20"/>
                <w:szCs w:val="20"/>
              </w:rPr>
            </w:pPr>
          </w:p>
          <w:p w14:paraId="4957C271" w14:textId="77777777" w:rsidR="00E3213B" w:rsidRPr="006842D5" w:rsidRDefault="00E3213B" w:rsidP="00CF6CC2">
            <w:pPr>
              <w:jc w:val="center"/>
              <w:rPr>
                <w:rFonts w:ascii="Times New Roman" w:hAnsi="Times New Roman" w:cs="Times New Roman"/>
                <w:sz w:val="20"/>
                <w:szCs w:val="20"/>
              </w:rPr>
            </w:pPr>
          </w:p>
          <w:p w14:paraId="46CB37F3" w14:textId="77777777" w:rsidR="00E3213B" w:rsidRPr="006842D5" w:rsidRDefault="00E3213B" w:rsidP="00CF6CC2">
            <w:pPr>
              <w:jc w:val="center"/>
              <w:rPr>
                <w:rFonts w:ascii="Times New Roman" w:hAnsi="Times New Roman" w:cs="Times New Roman"/>
                <w:sz w:val="20"/>
                <w:szCs w:val="20"/>
              </w:rPr>
            </w:pPr>
            <w:r w:rsidRPr="006842D5">
              <w:rPr>
                <w:rFonts w:ascii="Times New Roman" w:hAnsi="Times New Roman" w:cs="Times New Roman"/>
                <w:sz w:val="20"/>
                <w:szCs w:val="20"/>
              </w:rPr>
              <w:t>Vehículos terrestres, marítimos o aéreos</w:t>
            </w:r>
          </w:p>
        </w:tc>
        <w:tc>
          <w:tcPr>
            <w:tcW w:w="2835" w:type="dxa"/>
          </w:tcPr>
          <w:p w14:paraId="7D2E4961" w14:textId="77777777" w:rsidR="00E3213B" w:rsidRPr="006842D5" w:rsidRDefault="00E3213B" w:rsidP="00CF6CC2">
            <w:pPr>
              <w:jc w:val="both"/>
              <w:rPr>
                <w:rFonts w:ascii="Times New Roman" w:hAnsi="Times New Roman" w:cs="Times New Roman"/>
                <w:sz w:val="20"/>
                <w:szCs w:val="20"/>
              </w:rPr>
            </w:pPr>
          </w:p>
        </w:tc>
        <w:tc>
          <w:tcPr>
            <w:tcW w:w="4110" w:type="dxa"/>
          </w:tcPr>
          <w:p w14:paraId="73C201DA" w14:textId="77777777" w:rsidR="00E3213B" w:rsidRPr="006842D5" w:rsidRDefault="00E3213B" w:rsidP="00CF6CC2">
            <w:pPr>
              <w:jc w:val="both"/>
              <w:rPr>
                <w:rFonts w:ascii="Times New Roman" w:hAnsi="Times New Roman" w:cs="Times New Roman"/>
                <w:sz w:val="20"/>
                <w:szCs w:val="20"/>
              </w:rPr>
            </w:pPr>
            <w:r w:rsidRPr="006842D5">
              <w:rPr>
                <w:rFonts w:ascii="Times New Roman" w:hAnsi="Times New Roman" w:cs="Times New Roman"/>
                <w:sz w:val="20"/>
                <w:szCs w:val="20"/>
              </w:rPr>
              <w:t xml:space="preserve">Valor de tasación al 31 de diciembre del año respectivo, determinado anualmente por el SII. En caso de no existir valoración disponible, se debe declarar el valor comercial del bien según tasación realizada por un agente independiente </w:t>
            </w:r>
          </w:p>
        </w:tc>
      </w:tr>
      <w:tr w:rsidR="00E3213B" w:rsidRPr="006842D5" w14:paraId="0183F8CD" w14:textId="77777777" w:rsidTr="00CF6CC2">
        <w:tc>
          <w:tcPr>
            <w:tcW w:w="4679" w:type="dxa"/>
          </w:tcPr>
          <w:p w14:paraId="1AF7B2EA" w14:textId="77777777" w:rsidR="00E3213B" w:rsidRPr="006842D5" w:rsidRDefault="00E3213B" w:rsidP="00CF6CC2">
            <w:pPr>
              <w:jc w:val="both"/>
              <w:rPr>
                <w:rFonts w:ascii="Times New Roman" w:hAnsi="Times New Roman" w:cs="Times New Roman"/>
                <w:sz w:val="20"/>
                <w:szCs w:val="20"/>
              </w:rPr>
            </w:pPr>
            <w:r w:rsidRPr="006842D5">
              <w:rPr>
                <w:rFonts w:ascii="Times New Roman" w:hAnsi="Times New Roman" w:cs="Times New Roman"/>
                <w:sz w:val="20"/>
                <w:szCs w:val="20"/>
              </w:rPr>
              <w:lastRenderedPageBreak/>
              <w:t xml:space="preserve">Instrumentos derivados (calificados como tales según definición del artículo 2° de la Ley N° 20.544, entre los cuales se enumeran los forwards, futuros, swaps, opciones). </w:t>
            </w:r>
          </w:p>
        </w:tc>
        <w:tc>
          <w:tcPr>
            <w:tcW w:w="2835" w:type="dxa"/>
          </w:tcPr>
          <w:p w14:paraId="2B977395" w14:textId="77777777" w:rsidR="00E3213B" w:rsidRPr="006842D5" w:rsidRDefault="00E3213B" w:rsidP="00CF6CC2">
            <w:pPr>
              <w:jc w:val="both"/>
              <w:rPr>
                <w:rFonts w:ascii="Times New Roman" w:hAnsi="Times New Roman" w:cs="Times New Roman"/>
                <w:sz w:val="20"/>
                <w:szCs w:val="20"/>
              </w:rPr>
            </w:pPr>
            <w:r w:rsidRPr="006842D5">
              <w:rPr>
                <w:rFonts w:ascii="Times New Roman" w:hAnsi="Times New Roman" w:cs="Times New Roman"/>
                <w:color w:val="000000"/>
                <w:sz w:val="20"/>
                <w:szCs w:val="20"/>
                <w:shd w:val="clear" w:color="auto" w:fill="FFFFFF"/>
              </w:rPr>
              <w:t>N°4 del art. 5° de la Ley N° 20.544</w:t>
            </w:r>
            <w:r>
              <w:rPr>
                <w:rFonts w:ascii="Times New Roman" w:hAnsi="Times New Roman" w:cs="Times New Roman"/>
                <w:color w:val="000000"/>
                <w:sz w:val="20"/>
                <w:szCs w:val="20"/>
                <w:shd w:val="clear" w:color="auto" w:fill="FFFFFF"/>
              </w:rPr>
              <w:t xml:space="preserve"> establece su valorización y tratamiento tributario. </w:t>
            </w:r>
          </w:p>
        </w:tc>
        <w:tc>
          <w:tcPr>
            <w:tcW w:w="4110" w:type="dxa"/>
          </w:tcPr>
          <w:p w14:paraId="6C39D3EC" w14:textId="77777777" w:rsidR="00E3213B" w:rsidRPr="006842D5" w:rsidRDefault="00E3213B" w:rsidP="00CF6CC2">
            <w:pPr>
              <w:jc w:val="both"/>
              <w:rPr>
                <w:rFonts w:ascii="Times New Roman" w:hAnsi="Times New Roman" w:cs="Times New Roman"/>
                <w:sz w:val="20"/>
                <w:szCs w:val="20"/>
              </w:rPr>
            </w:pPr>
            <w:r w:rsidRPr="006842D5">
              <w:rPr>
                <w:rFonts w:ascii="Times New Roman" w:hAnsi="Times New Roman" w:cs="Times New Roman"/>
                <w:color w:val="000000"/>
                <w:sz w:val="20"/>
                <w:szCs w:val="20"/>
                <w:shd w:val="clear" w:color="auto" w:fill="FFFFFF"/>
              </w:rPr>
              <w:t>Su valor justo o razonable corresponde al valor que el contribuyente recibiría o pagaría con motivo de la celebración del contrato de derivado en condiciones de mercado, sin incluir los costos de venta o transferencia.</w:t>
            </w:r>
          </w:p>
        </w:tc>
      </w:tr>
      <w:tr w:rsidR="00E3213B" w:rsidRPr="006842D5" w14:paraId="6454B946" w14:textId="77777777" w:rsidTr="00CF6CC2">
        <w:tc>
          <w:tcPr>
            <w:tcW w:w="4679" w:type="dxa"/>
          </w:tcPr>
          <w:p w14:paraId="3EEC91E3" w14:textId="77777777" w:rsidR="00E3213B" w:rsidRPr="006842D5" w:rsidRDefault="00E3213B" w:rsidP="00CF6CC2">
            <w:pPr>
              <w:jc w:val="both"/>
              <w:rPr>
                <w:rFonts w:ascii="Times New Roman" w:hAnsi="Times New Roman" w:cs="Times New Roman"/>
                <w:sz w:val="20"/>
                <w:szCs w:val="20"/>
              </w:rPr>
            </w:pPr>
            <w:r w:rsidRPr="006842D5">
              <w:rPr>
                <w:rFonts w:ascii="Times New Roman" w:hAnsi="Times New Roman" w:cs="Times New Roman"/>
                <w:sz w:val="20"/>
                <w:szCs w:val="20"/>
              </w:rPr>
              <w:t>Portafolios de inversiones, carteras de inversiones administradas por terceros en Chile o el exterior, independiente de donde estén ubicadas las inversiones.</w:t>
            </w:r>
          </w:p>
        </w:tc>
        <w:tc>
          <w:tcPr>
            <w:tcW w:w="2835" w:type="dxa"/>
          </w:tcPr>
          <w:p w14:paraId="14A57AE6" w14:textId="77777777" w:rsidR="00E3213B" w:rsidRPr="006842D5" w:rsidRDefault="00E3213B" w:rsidP="00CF6CC2">
            <w:pPr>
              <w:jc w:val="both"/>
              <w:rPr>
                <w:rFonts w:ascii="Times New Roman" w:hAnsi="Times New Roman" w:cs="Times New Roman"/>
                <w:sz w:val="20"/>
                <w:szCs w:val="20"/>
              </w:rPr>
            </w:pPr>
          </w:p>
        </w:tc>
        <w:tc>
          <w:tcPr>
            <w:tcW w:w="4110" w:type="dxa"/>
          </w:tcPr>
          <w:p w14:paraId="2B6888CC" w14:textId="77777777" w:rsidR="00E3213B" w:rsidRPr="006842D5" w:rsidRDefault="00E3213B" w:rsidP="00CF6CC2">
            <w:pPr>
              <w:jc w:val="both"/>
              <w:rPr>
                <w:rFonts w:ascii="Times New Roman" w:hAnsi="Times New Roman" w:cs="Times New Roman"/>
                <w:color w:val="000000"/>
                <w:sz w:val="20"/>
                <w:szCs w:val="20"/>
                <w:shd w:val="clear" w:color="auto" w:fill="FFFFFF"/>
              </w:rPr>
            </w:pPr>
            <w:r w:rsidRPr="006842D5">
              <w:rPr>
                <w:rFonts w:ascii="Times New Roman" w:hAnsi="Times New Roman" w:cs="Times New Roman"/>
                <w:color w:val="000000"/>
                <w:sz w:val="20"/>
                <w:szCs w:val="20"/>
                <w:shd w:val="clear" w:color="auto" w:fill="FFFFFF"/>
              </w:rPr>
              <w:t>Valor informado por la entidad administradora al 31 de diciembre del ejercicio comercial correspondiente</w:t>
            </w:r>
          </w:p>
        </w:tc>
      </w:tr>
      <w:tr w:rsidR="00E3213B" w:rsidRPr="006842D5" w14:paraId="33109DB9" w14:textId="77777777" w:rsidTr="00CF6CC2">
        <w:tc>
          <w:tcPr>
            <w:tcW w:w="4679" w:type="dxa"/>
          </w:tcPr>
          <w:p w14:paraId="215490FE" w14:textId="77777777" w:rsidR="00E3213B" w:rsidRPr="006842D5" w:rsidRDefault="00E3213B" w:rsidP="00CF6CC2">
            <w:pPr>
              <w:jc w:val="both"/>
              <w:rPr>
                <w:rFonts w:ascii="Times New Roman" w:hAnsi="Times New Roman" w:cs="Times New Roman"/>
                <w:sz w:val="20"/>
                <w:szCs w:val="20"/>
              </w:rPr>
            </w:pPr>
            <w:r w:rsidRPr="006842D5">
              <w:rPr>
                <w:rFonts w:ascii="Times New Roman" w:hAnsi="Times New Roman" w:cs="Times New Roman"/>
                <w:sz w:val="20"/>
                <w:szCs w:val="20"/>
              </w:rPr>
              <w:t>Cuentas bancarias corrientes, a la vista, de ahorro, u otros instrumentos financieros bajo custodia o administración de un banco o institución financiera, en Chile o en el extranjero, en moneda nacional o extranjera, en las que el contribuyente tenga calidad de titular o beneficiario en la proporción que le corresponda</w:t>
            </w:r>
          </w:p>
        </w:tc>
        <w:tc>
          <w:tcPr>
            <w:tcW w:w="2835" w:type="dxa"/>
          </w:tcPr>
          <w:p w14:paraId="444B1C97" w14:textId="77777777" w:rsidR="00E3213B" w:rsidRPr="006842D5" w:rsidRDefault="00E3213B" w:rsidP="00CF6CC2">
            <w:pPr>
              <w:jc w:val="both"/>
              <w:rPr>
                <w:rFonts w:ascii="Times New Roman" w:hAnsi="Times New Roman" w:cs="Times New Roman"/>
                <w:sz w:val="20"/>
                <w:szCs w:val="20"/>
              </w:rPr>
            </w:pPr>
          </w:p>
        </w:tc>
        <w:tc>
          <w:tcPr>
            <w:tcW w:w="4110" w:type="dxa"/>
          </w:tcPr>
          <w:p w14:paraId="1094AF2A" w14:textId="77777777" w:rsidR="00E3213B" w:rsidRPr="006842D5" w:rsidRDefault="00E3213B" w:rsidP="00CF6CC2">
            <w:pPr>
              <w:jc w:val="both"/>
              <w:rPr>
                <w:rFonts w:ascii="Times New Roman" w:hAnsi="Times New Roman" w:cs="Times New Roman"/>
                <w:color w:val="000000"/>
                <w:sz w:val="20"/>
                <w:szCs w:val="20"/>
                <w:shd w:val="clear" w:color="auto" w:fill="FFFFFF"/>
              </w:rPr>
            </w:pPr>
            <w:r w:rsidRPr="006842D5">
              <w:rPr>
                <w:rFonts w:ascii="Times New Roman" w:hAnsi="Times New Roman" w:cs="Times New Roman"/>
                <w:color w:val="000000"/>
                <w:sz w:val="20"/>
                <w:szCs w:val="20"/>
                <w:shd w:val="clear" w:color="auto" w:fill="FFFFFF"/>
              </w:rPr>
              <w:t>Saldo correspondiente al 31 de diciembre del año comercial correspondiente</w:t>
            </w:r>
          </w:p>
        </w:tc>
      </w:tr>
      <w:tr w:rsidR="00E3213B" w:rsidRPr="006842D5" w14:paraId="55848838" w14:textId="77777777" w:rsidTr="00CF6CC2">
        <w:tc>
          <w:tcPr>
            <w:tcW w:w="4679" w:type="dxa"/>
          </w:tcPr>
          <w:p w14:paraId="1F7F9647" w14:textId="77777777" w:rsidR="00E3213B" w:rsidRPr="006842D5" w:rsidRDefault="00E3213B" w:rsidP="00CF6CC2">
            <w:pPr>
              <w:jc w:val="both"/>
              <w:rPr>
                <w:rFonts w:ascii="Times New Roman" w:hAnsi="Times New Roman" w:cs="Times New Roman"/>
                <w:sz w:val="20"/>
                <w:szCs w:val="20"/>
              </w:rPr>
            </w:pPr>
            <w:r w:rsidRPr="006842D5">
              <w:rPr>
                <w:rFonts w:ascii="Times New Roman" w:hAnsi="Times New Roman" w:cs="Times New Roman"/>
                <w:sz w:val="20"/>
                <w:szCs w:val="20"/>
              </w:rPr>
              <w:t>Beneficios a que tenga derecho el contribuyente</w:t>
            </w:r>
          </w:p>
        </w:tc>
        <w:tc>
          <w:tcPr>
            <w:tcW w:w="2835" w:type="dxa"/>
          </w:tcPr>
          <w:p w14:paraId="7CB4F3FC" w14:textId="77777777" w:rsidR="00E3213B" w:rsidRPr="006842D5" w:rsidRDefault="00E3213B" w:rsidP="00CF6CC2">
            <w:pPr>
              <w:jc w:val="both"/>
              <w:rPr>
                <w:rFonts w:ascii="Times New Roman" w:hAnsi="Times New Roman" w:cs="Times New Roman"/>
                <w:sz w:val="20"/>
                <w:szCs w:val="20"/>
              </w:rPr>
            </w:pPr>
          </w:p>
        </w:tc>
        <w:tc>
          <w:tcPr>
            <w:tcW w:w="4110" w:type="dxa"/>
          </w:tcPr>
          <w:p w14:paraId="450114B7" w14:textId="77777777" w:rsidR="00E3213B" w:rsidRPr="006842D5" w:rsidRDefault="00E3213B" w:rsidP="00CF6CC2">
            <w:pPr>
              <w:jc w:val="both"/>
              <w:rPr>
                <w:rFonts w:ascii="Times New Roman" w:hAnsi="Times New Roman" w:cs="Times New Roman"/>
                <w:color w:val="000000"/>
                <w:sz w:val="20"/>
                <w:szCs w:val="20"/>
                <w:shd w:val="clear" w:color="auto" w:fill="FFFFFF"/>
              </w:rPr>
            </w:pPr>
            <w:r w:rsidRPr="006842D5">
              <w:rPr>
                <w:rFonts w:ascii="Times New Roman" w:hAnsi="Times New Roman" w:cs="Times New Roman"/>
                <w:color w:val="000000"/>
                <w:sz w:val="20"/>
                <w:szCs w:val="20"/>
                <w:shd w:val="clear" w:color="auto" w:fill="FFFFFF"/>
              </w:rPr>
              <w:t>Porcentaje de participación o derechos sobre el capital, el patrimonio o las utilidades en la entidad</w:t>
            </w:r>
          </w:p>
        </w:tc>
      </w:tr>
      <w:tr w:rsidR="00E3213B" w:rsidRPr="006842D5" w14:paraId="2ED8AB50" w14:textId="77777777" w:rsidTr="00CF6CC2">
        <w:tc>
          <w:tcPr>
            <w:tcW w:w="4679" w:type="dxa"/>
          </w:tcPr>
          <w:p w14:paraId="586AC115" w14:textId="77777777" w:rsidR="00E3213B" w:rsidRPr="006842D5" w:rsidRDefault="00E3213B" w:rsidP="00CF6CC2">
            <w:pPr>
              <w:jc w:val="both"/>
              <w:rPr>
                <w:rFonts w:ascii="Times New Roman" w:hAnsi="Times New Roman" w:cs="Times New Roman"/>
                <w:sz w:val="20"/>
                <w:szCs w:val="20"/>
              </w:rPr>
            </w:pPr>
            <w:r w:rsidRPr="006842D5">
              <w:rPr>
                <w:rFonts w:ascii="Times New Roman" w:hAnsi="Times New Roman" w:cs="Times New Roman"/>
                <w:sz w:val="20"/>
                <w:szCs w:val="20"/>
              </w:rPr>
              <w:t>Animales destinados a una actividad comercial o lucrativa</w:t>
            </w:r>
          </w:p>
        </w:tc>
        <w:tc>
          <w:tcPr>
            <w:tcW w:w="2835" w:type="dxa"/>
          </w:tcPr>
          <w:p w14:paraId="127E1C52" w14:textId="77777777" w:rsidR="00E3213B" w:rsidRPr="006842D5" w:rsidRDefault="00E3213B" w:rsidP="00CF6CC2">
            <w:pPr>
              <w:jc w:val="both"/>
              <w:rPr>
                <w:rFonts w:ascii="Times New Roman" w:hAnsi="Times New Roman" w:cs="Times New Roman"/>
                <w:sz w:val="20"/>
                <w:szCs w:val="20"/>
              </w:rPr>
            </w:pPr>
            <w:r>
              <w:rPr>
                <w:rFonts w:ascii="Times New Roman" w:hAnsi="Times New Roman" w:cs="Times New Roman"/>
                <w:sz w:val="20"/>
                <w:szCs w:val="20"/>
              </w:rPr>
              <w:t>Precio publicado por el Boletín semanal de precios de la As. Gremial de Ferias Ganaderas.</w:t>
            </w:r>
          </w:p>
        </w:tc>
        <w:tc>
          <w:tcPr>
            <w:tcW w:w="4110" w:type="dxa"/>
          </w:tcPr>
          <w:p w14:paraId="0B113987" w14:textId="77777777" w:rsidR="00E3213B" w:rsidRPr="006842D5" w:rsidRDefault="00E3213B" w:rsidP="00CF6CC2">
            <w:pPr>
              <w:jc w:val="both"/>
              <w:rPr>
                <w:rFonts w:ascii="Times New Roman" w:hAnsi="Times New Roman" w:cs="Times New Roman"/>
                <w:color w:val="000000"/>
                <w:sz w:val="20"/>
                <w:szCs w:val="20"/>
                <w:shd w:val="clear" w:color="auto" w:fill="FFFFFF"/>
              </w:rPr>
            </w:pPr>
            <w:r w:rsidRPr="006842D5">
              <w:rPr>
                <w:rFonts w:ascii="Times New Roman" w:hAnsi="Times New Roman" w:cs="Times New Roman"/>
                <w:color w:val="000000"/>
                <w:sz w:val="20"/>
                <w:szCs w:val="20"/>
                <w:shd w:val="clear" w:color="auto" w:fill="FFFFFF"/>
              </w:rPr>
              <w:t>Valor de mercado</w:t>
            </w:r>
            <w:r>
              <w:rPr>
                <w:rFonts w:ascii="Times New Roman" w:hAnsi="Times New Roman" w:cs="Times New Roman"/>
                <w:color w:val="000000"/>
                <w:sz w:val="20"/>
                <w:szCs w:val="20"/>
                <w:shd w:val="clear" w:color="auto" w:fill="FFFFFF"/>
              </w:rPr>
              <w:t xml:space="preserve"> correspondiente a la última semana de diciembre del año respectivo publicado por Oficina del Min. de Agricultura.</w:t>
            </w:r>
          </w:p>
        </w:tc>
      </w:tr>
      <w:tr w:rsidR="00E3213B" w:rsidRPr="006842D5" w14:paraId="6573CFA7" w14:textId="77777777" w:rsidTr="00CF6CC2">
        <w:tc>
          <w:tcPr>
            <w:tcW w:w="4679" w:type="dxa"/>
          </w:tcPr>
          <w:p w14:paraId="4930E98A" w14:textId="77777777" w:rsidR="00E3213B" w:rsidRPr="006842D5" w:rsidRDefault="00E3213B" w:rsidP="00CF6CC2">
            <w:pPr>
              <w:jc w:val="both"/>
              <w:rPr>
                <w:rFonts w:ascii="Times New Roman" w:hAnsi="Times New Roman" w:cs="Times New Roman"/>
                <w:sz w:val="20"/>
                <w:szCs w:val="20"/>
              </w:rPr>
            </w:pPr>
            <w:r w:rsidRPr="006842D5">
              <w:rPr>
                <w:rFonts w:ascii="Times New Roman" w:hAnsi="Times New Roman" w:cs="Times New Roman"/>
                <w:sz w:val="20"/>
                <w:szCs w:val="20"/>
              </w:rPr>
              <w:t>Otros activos cuyo valor sea igual o superior a 130 UTA</w:t>
            </w:r>
          </w:p>
        </w:tc>
        <w:tc>
          <w:tcPr>
            <w:tcW w:w="2835" w:type="dxa"/>
          </w:tcPr>
          <w:p w14:paraId="747C25ED" w14:textId="77777777" w:rsidR="00E3213B" w:rsidRPr="006842D5" w:rsidRDefault="00E3213B" w:rsidP="00CF6CC2">
            <w:pPr>
              <w:jc w:val="both"/>
              <w:rPr>
                <w:rFonts w:ascii="Times New Roman" w:hAnsi="Times New Roman" w:cs="Times New Roman"/>
                <w:sz w:val="20"/>
                <w:szCs w:val="20"/>
              </w:rPr>
            </w:pPr>
          </w:p>
        </w:tc>
        <w:tc>
          <w:tcPr>
            <w:tcW w:w="4110" w:type="dxa"/>
          </w:tcPr>
          <w:p w14:paraId="59C7EA49" w14:textId="77777777" w:rsidR="00E3213B" w:rsidRPr="006842D5" w:rsidRDefault="00E3213B" w:rsidP="00CF6CC2">
            <w:pPr>
              <w:jc w:val="both"/>
              <w:rPr>
                <w:rFonts w:ascii="Times New Roman" w:hAnsi="Times New Roman" w:cs="Times New Roman"/>
                <w:color w:val="000000"/>
                <w:sz w:val="20"/>
                <w:szCs w:val="20"/>
                <w:shd w:val="clear" w:color="auto" w:fill="FFFFFF"/>
              </w:rPr>
            </w:pPr>
            <w:r w:rsidRPr="006842D5">
              <w:rPr>
                <w:rFonts w:ascii="Times New Roman" w:hAnsi="Times New Roman" w:cs="Times New Roman"/>
                <w:color w:val="000000"/>
                <w:sz w:val="20"/>
                <w:szCs w:val="20"/>
                <w:shd w:val="clear" w:color="auto" w:fill="FFFFFF"/>
              </w:rPr>
              <w:t>Valor de mercado al 31 de diciembre del ejercicio comercial respectivo</w:t>
            </w:r>
          </w:p>
        </w:tc>
      </w:tr>
      <w:bookmarkEnd w:id="0"/>
    </w:tbl>
    <w:p w14:paraId="54043666" w14:textId="77777777" w:rsidR="00E3213B" w:rsidRPr="00DF1BD7" w:rsidRDefault="00E3213B" w:rsidP="00915830">
      <w:pPr>
        <w:spacing w:after="0"/>
        <w:jc w:val="both"/>
        <w:rPr>
          <w:rFonts w:ascii="Times New Roman" w:hAnsi="Times New Roman" w:cs="Times New Roman"/>
          <w:sz w:val="24"/>
          <w:szCs w:val="24"/>
        </w:rPr>
      </w:pPr>
    </w:p>
    <w:sectPr w:rsidR="00E3213B" w:rsidRPr="00DF1BD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6580D" w14:textId="77777777" w:rsidR="0028697D" w:rsidRDefault="0028697D" w:rsidP="00297252">
      <w:pPr>
        <w:spacing w:after="0" w:line="240" w:lineRule="auto"/>
      </w:pPr>
      <w:r>
        <w:separator/>
      </w:r>
    </w:p>
  </w:endnote>
  <w:endnote w:type="continuationSeparator" w:id="0">
    <w:p w14:paraId="75095BAE" w14:textId="77777777" w:rsidR="0028697D" w:rsidRDefault="0028697D" w:rsidP="00297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705BB" w14:textId="77777777" w:rsidR="0086773E" w:rsidRDefault="0086773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DD48A" w14:textId="77777777" w:rsidR="006509C3" w:rsidRPr="00924E84" w:rsidRDefault="00430BAF" w:rsidP="006509C3">
    <w:pPr>
      <w:pStyle w:val="Piedepgina"/>
      <w:jc w:val="center"/>
      <w:rPr>
        <w:rFonts w:ascii="Times New Roman" w:hAnsi="Times New Roman"/>
        <w:color w:val="2F5496" w:themeColor="accent1" w:themeShade="BF"/>
        <w:sz w:val="20"/>
        <w:szCs w:val="20"/>
      </w:rPr>
    </w:pPr>
    <w:r w:rsidRPr="00924E84">
      <w:rPr>
        <w:rFonts w:ascii="Times New Roman" w:hAnsi="Times New Roman"/>
        <w:color w:val="2F5496" w:themeColor="accent1" w:themeShade="BF"/>
        <w:sz w:val="20"/>
        <w:szCs w:val="20"/>
      </w:rPr>
      <w:t xml:space="preserve">Rosario Norte 555 Oficina 601 - Las Condes, Santiago, Chile </w:t>
    </w:r>
  </w:p>
  <w:p w14:paraId="693F6E00" w14:textId="77777777" w:rsidR="006509C3" w:rsidRPr="00924E84" w:rsidRDefault="00430BAF" w:rsidP="006509C3">
    <w:pPr>
      <w:pStyle w:val="Piedepgina"/>
      <w:jc w:val="center"/>
      <w:rPr>
        <w:rFonts w:ascii="Times New Roman" w:hAnsi="Times New Roman"/>
        <w:color w:val="2F5496" w:themeColor="accent1" w:themeShade="BF"/>
      </w:rPr>
    </w:pPr>
    <w:r w:rsidRPr="00924E84">
      <w:rPr>
        <w:rFonts w:ascii="Times New Roman" w:hAnsi="Times New Roman"/>
        <w:color w:val="2F5496" w:themeColor="accent1" w:themeShade="BF"/>
        <w:sz w:val="20"/>
        <w:szCs w:val="20"/>
      </w:rPr>
      <w:t>Tel.: (+562) 232396730 www.maabogados.cl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58252" w14:textId="77777777" w:rsidR="0086773E" w:rsidRDefault="008677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3AC82" w14:textId="77777777" w:rsidR="0028697D" w:rsidRDefault="0028697D" w:rsidP="00297252">
      <w:pPr>
        <w:spacing w:after="0" w:line="240" w:lineRule="auto"/>
      </w:pPr>
      <w:r>
        <w:separator/>
      </w:r>
    </w:p>
  </w:footnote>
  <w:footnote w:type="continuationSeparator" w:id="0">
    <w:p w14:paraId="4222743B" w14:textId="77777777" w:rsidR="0028697D" w:rsidRDefault="0028697D" w:rsidP="00297252">
      <w:pPr>
        <w:spacing w:after="0" w:line="240" w:lineRule="auto"/>
      </w:pPr>
      <w:r>
        <w:continuationSeparator/>
      </w:r>
    </w:p>
  </w:footnote>
  <w:footnote w:id="1">
    <w:p w14:paraId="43B39017" w14:textId="4073EDBA" w:rsidR="00541FAE" w:rsidRPr="003D591D" w:rsidRDefault="00541FAE" w:rsidP="003D591D">
      <w:pPr>
        <w:pStyle w:val="Textonotapie"/>
        <w:ind w:left="-283" w:right="-283"/>
        <w:rPr>
          <w:rFonts w:ascii="Times New Roman" w:hAnsi="Times New Roman" w:cs="Times New Roman"/>
        </w:rPr>
      </w:pPr>
      <w:r w:rsidRPr="004C3A61">
        <w:rPr>
          <w:rStyle w:val="Refdenotaalpie"/>
          <w:rFonts w:ascii="Times New Roman" w:hAnsi="Times New Roman" w:cs="Times New Roman"/>
        </w:rPr>
        <w:footnoteRef/>
      </w:r>
      <w:r w:rsidRPr="004C3A61">
        <w:rPr>
          <w:rFonts w:ascii="Times New Roman" w:hAnsi="Times New Roman" w:cs="Times New Roman"/>
        </w:rPr>
        <w:t xml:space="preserve"> </w:t>
      </w:r>
      <w:r w:rsidR="004C3A61" w:rsidRPr="003D591D">
        <w:rPr>
          <w:rFonts w:ascii="Times New Roman" w:hAnsi="Times New Roman" w:cs="Times New Roman"/>
        </w:rPr>
        <w:t>Reglas sobre residencia y domicilio establecidas en el Código Tributario.</w:t>
      </w:r>
    </w:p>
  </w:footnote>
  <w:footnote w:id="2">
    <w:p w14:paraId="3AA43D36" w14:textId="19B5CDCE" w:rsidR="003A0142" w:rsidRPr="00480A9D" w:rsidRDefault="003A0142" w:rsidP="003D591D">
      <w:pPr>
        <w:pStyle w:val="Textonotapie"/>
        <w:ind w:left="-283" w:right="-283"/>
        <w:jc w:val="both"/>
        <w:rPr>
          <w:rFonts w:ascii="Times New Roman" w:hAnsi="Times New Roman" w:cs="Times New Roman"/>
        </w:rPr>
      </w:pPr>
      <w:r w:rsidRPr="003D591D">
        <w:rPr>
          <w:rStyle w:val="Refdenotaalpie"/>
          <w:rFonts w:ascii="Times New Roman" w:hAnsi="Times New Roman" w:cs="Times New Roman"/>
        </w:rPr>
        <w:footnoteRef/>
      </w:r>
      <w:r w:rsidRPr="003D591D">
        <w:rPr>
          <w:rFonts w:ascii="Times New Roman" w:hAnsi="Times New Roman" w:cs="Times New Roman"/>
        </w:rPr>
        <w:t xml:space="preserve"> </w:t>
      </w:r>
      <w:r w:rsidR="00480A9D">
        <w:rPr>
          <w:rFonts w:ascii="Times New Roman" w:hAnsi="Times New Roman" w:cs="Times New Roman"/>
        </w:rPr>
        <w:t>U</w:t>
      </w:r>
      <w:r w:rsidR="00336EFE" w:rsidRPr="00480A9D">
        <w:rPr>
          <w:rFonts w:ascii="Times New Roman" w:hAnsi="Times New Roman" w:cs="Times New Roman"/>
        </w:rPr>
        <w:t>nidad</w:t>
      </w:r>
      <w:r w:rsidR="00A553C5" w:rsidRPr="00480A9D">
        <w:rPr>
          <w:rFonts w:ascii="Times New Roman" w:hAnsi="Times New Roman" w:cs="Times New Roman"/>
        </w:rPr>
        <w:t xml:space="preserve"> </w:t>
      </w:r>
      <w:r w:rsidR="00480A9D">
        <w:rPr>
          <w:rFonts w:ascii="Times New Roman" w:hAnsi="Times New Roman" w:cs="Times New Roman"/>
        </w:rPr>
        <w:t>T</w:t>
      </w:r>
      <w:r w:rsidR="00336EFE" w:rsidRPr="00480A9D">
        <w:rPr>
          <w:rFonts w:ascii="Times New Roman" w:hAnsi="Times New Roman" w:cs="Times New Roman"/>
        </w:rPr>
        <w:t xml:space="preserve">ributaria </w:t>
      </w:r>
      <w:r w:rsidR="00480A9D">
        <w:rPr>
          <w:rFonts w:ascii="Times New Roman" w:hAnsi="Times New Roman" w:cs="Times New Roman"/>
        </w:rPr>
        <w:t>A</w:t>
      </w:r>
      <w:r w:rsidR="00336EFE" w:rsidRPr="00480A9D">
        <w:rPr>
          <w:rFonts w:ascii="Times New Roman" w:hAnsi="Times New Roman" w:cs="Times New Roman"/>
        </w:rPr>
        <w:t>nual (U</w:t>
      </w:r>
      <w:r w:rsidRPr="00480A9D">
        <w:rPr>
          <w:rFonts w:ascii="Times New Roman" w:hAnsi="Times New Roman" w:cs="Times New Roman"/>
        </w:rPr>
        <w:t>TA</w:t>
      </w:r>
      <w:r w:rsidR="00336EFE" w:rsidRPr="00480A9D">
        <w:rPr>
          <w:rFonts w:ascii="Times New Roman" w:hAnsi="Times New Roman" w:cs="Times New Roman"/>
        </w:rPr>
        <w:t>)</w:t>
      </w:r>
      <w:r w:rsidR="00480A9D">
        <w:rPr>
          <w:rFonts w:ascii="Times New Roman" w:hAnsi="Times New Roman" w:cs="Times New Roman"/>
        </w:rPr>
        <w:t>:</w:t>
      </w:r>
      <w:r w:rsidRPr="00480A9D">
        <w:rPr>
          <w:rFonts w:ascii="Times New Roman" w:hAnsi="Times New Roman" w:cs="Times New Roman"/>
        </w:rPr>
        <w:t xml:space="preserve"> </w:t>
      </w:r>
      <w:r w:rsidR="00A553C5" w:rsidRPr="00480A9D">
        <w:rPr>
          <w:rFonts w:ascii="Times New Roman" w:hAnsi="Times New Roman" w:cs="Times New Roman"/>
        </w:rPr>
        <w:t>c</w:t>
      </w:r>
      <w:r w:rsidR="00336EFE" w:rsidRPr="00480A9D">
        <w:rPr>
          <w:rFonts w:ascii="Times New Roman" w:hAnsi="Times New Roman" w:cs="Times New Roman"/>
        </w:rPr>
        <w:t>orresponde a aquella unidad tributaria mensual (UTM) vigente en el último mes del año comercial respectivo, multiplicada por doce o por el número de meses que comprende el año comercial. Al considerar una UTM proyectada de $60.000</w:t>
      </w:r>
      <w:r w:rsidR="00480A9D">
        <w:rPr>
          <w:rFonts w:ascii="Times New Roman" w:hAnsi="Times New Roman" w:cs="Times New Roman"/>
        </w:rPr>
        <w:t>,</w:t>
      </w:r>
      <w:r w:rsidR="00336EFE" w:rsidRPr="00480A9D">
        <w:rPr>
          <w:rFonts w:ascii="Times New Roman" w:hAnsi="Times New Roman" w:cs="Times New Roman"/>
        </w:rPr>
        <w:t xml:space="preserve"> </w:t>
      </w:r>
      <w:r w:rsidR="00873CBB" w:rsidRPr="00480A9D">
        <w:rPr>
          <w:rFonts w:ascii="Times New Roman" w:hAnsi="Times New Roman" w:cs="Times New Roman"/>
        </w:rPr>
        <w:t xml:space="preserve">una </w:t>
      </w:r>
      <w:r w:rsidR="00336EFE" w:rsidRPr="00480A9D">
        <w:rPr>
          <w:rFonts w:ascii="Times New Roman" w:hAnsi="Times New Roman" w:cs="Times New Roman"/>
        </w:rPr>
        <w:t xml:space="preserve">UTA </w:t>
      </w:r>
      <w:r w:rsidR="00873CBB" w:rsidRPr="00480A9D">
        <w:rPr>
          <w:rFonts w:ascii="Times New Roman" w:hAnsi="Times New Roman" w:cs="Times New Roman"/>
        </w:rPr>
        <w:t xml:space="preserve">asciende a </w:t>
      </w:r>
      <w:r w:rsidR="00336EFE" w:rsidRPr="00480A9D">
        <w:rPr>
          <w:rFonts w:ascii="Times New Roman" w:hAnsi="Times New Roman" w:cs="Times New Roman"/>
        </w:rPr>
        <w:t>$720.000</w:t>
      </w:r>
      <w:r w:rsidR="00873CBB" w:rsidRPr="00480A9D">
        <w:rPr>
          <w:rFonts w:ascii="Times New Roman" w:hAnsi="Times New Roman" w:cs="Times New Roman"/>
        </w:rPr>
        <w:t xml:space="preserve"> y</w:t>
      </w:r>
      <w:r w:rsidR="00480A9D">
        <w:rPr>
          <w:rFonts w:ascii="Times New Roman" w:hAnsi="Times New Roman" w:cs="Times New Roman"/>
        </w:rPr>
        <w:t>,</w:t>
      </w:r>
      <w:r w:rsidR="00A553C5" w:rsidRPr="00480A9D">
        <w:rPr>
          <w:rFonts w:ascii="Times New Roman" w:hAnsi="Times New Roman" w:cs="Times New Roman"/>
        </w:rPr>
        <w:t xml:space="preserve"> por lo tanto</w:t>
      </w:r>
      <w:r w:rsidR="00480A9D">
        <w:rPr>
          <w:rFonts w:ascii="Times New Roman" w:hAnsi="Times New Roman" w:cs="Times New Roman"/>
        </w:rPr>
        <w:t>,</w:t>
      </w:r>
      <w:r w:rsidR="00873CBB" w:rsidRPr="00480A9D">
        <w:rPr>
          <w:rFonts w:ascii="Times New Roman" w:hAnsi="Times New Roman" w:cs="Times New Roman"/>
        </w:rPr>
        <w:t xml:space="preserve"> 6.000 UTA a</w:t>
      </w:r>
      <w:r w:rsidR="00A553C5" w:rsidRPr="00480A9D">
        <w:rPr>
          <w:rFonts w:ascii="Times New Roman" w:hAnsi="Times New Roman" w:cs="Times New Roman"/>
        </w:rPr>
        <w:t>scendería a</w:t>
      </w:r>
      <w:r w:rsidR="00873CBB" w:rsidRPr="00480A9D">
        <w:rPr>
          <w:rFonts w:ascii="Times New Roman" w:hAnsi="Times New Roman" w:cs="Times New Roman"/>
        </w:rPr>
        <w:t xml:space="preserve"> $4.320 millones</w:t>
      </w:r>
      <w:r w:rsidR="00480A9D">
        <w:rPr>
          <w:rFonts w:ascii="Times New Roman" w:hAnsi="Times New Roman" w:cs="Times New Roman"/>
        </w:rPr>
        <w:t>.</w:t>
      </w:r>
    </w:p>
  </w:footnote>
  <w:footnote w:id="3">
    <w:p w14:paraId="52252913" w14:textId="3EB908A1" w:rsidR="00915FEF" w:rsidRPr="00915FEF" w:rsidRDefault="00915FEF">
      <w:pPr>
        <w:pStyle w:val="Textonotapie"/>
        <w:rPr>
          <w:rFonts w:ascii="Times New Roman" w:hAnsi="Times New Roman" w:cs="Times New Roman"/>
        </w:rPr>
      </w:pPr>
      <w:r w:rsidRPr="00915FEF">
        <w:rPr>
          <w:rStyle w:val="Refdenotaalpie"/>
          <w:rFonts w:ascii="Times New Roman" w:hAnsi="Times New Roman" w:cs="Times New Roman"/>
        </w:rPr>
        <w:footnoteRef/>
      </w:r>
      <w:r w:rsidRPr="00915FEF">
        <w:rPr>
          <w:rFonts w:ascii="Times New Roman" w:hAnsi="Times New Roman" w:cs="Times New Roman"/>
        </w:rPr>
        <w:t xml:space="preserve"> Aproximadamente, $2.880 millones.</w:t>
      </w:r>
    </w:p>
  </w:footnote>
  <w:footnote w:id="4">
    <w:p w14:paraId="77D751EB" w14:textId="5A7EE1CF" w:rsidR="00F86A79" w:rsidRPr="003D591D" w:rsidRDefault="00F86A79">
      <w:pPr>
        <w:pStyle w:val="Textonotapie"/>
        <w:rPr>
          <w:rFonts w:ascii="Times New Roman" w:hAnsi="Times New Roman" w:cs="Times New Roman"/>
        </w:rPr>
      </w:pPr>
      <w:r w:rsidRPr="003D591D">
        <w:rPr>
          <w:rStyle w:val="Refdenotaalpie"/>
          <w:rFonts w:ascii="Times New Roman" w:hAnsi="Times New Roman" w:cs="Times New Roman"/>
        </w:rPr>
        <w:footnoteRef/>
      </w:r>
      <w:r w:rsidRPr="003D591D">
        <w:rPr>
          <w:rFonts w:ascii="Times New Roman" w:hAnsi="Times New Roman" w:cs="Times New Roman"/>
        </w:rPr>
        <w:t xml:space="preserve"> </w:t>
      </w:r>
      <w:r w:rsidR="00A02455" w:rsidRPr="003D591D">
        <w:rPr>
          <w:rFonts w:ascii="Times New Roman" w:hAnsi="Times New Roman" w:cs="Times New Roman"/>
        </w:rPr>
        <w:t xml:space="preserve">Beneficiario final considerado según definición del mismo Proyecto de Ley. </w:t>
      </w:r>
    </w:p>
  </w:footnote>
  <w:footnote w:id="5">
    <w:p w14:paraId="13D26A20" w14:textId="77777777" w:rsidR="004374E0" w:rsidRPr="004374E0" w:rsidRDefault="004374E0" w:rsidP="004374E0">
      <w:pPr>
        <w:pStyle w:val="Textonotapie"/>
        <w:ind w:left="-283" w:right="-283"/>
        <w:jc w:val="both"/>
        <w:rPr>
          <w:rFonts w:ascii="Times New Roman" w:hAnsi="Times New Roman" w:cs="Times New Roman"/>
        </w:rPr>
      </w:pPr>
      <w:r w:rsidRPr="004374E0">
        <w:rPr>
          <w:rStyle w:val="Refdenotaalpie"/>
          <w:rFonts w:ascii="Times New Roman" w:hAnsi="Times New Roman" w:cs="Times New Roman"/>
        </w:rPr>
        <w:footnoteRef/>
      </w:r>
      <w:r w:rsidRPr="004374E0">
        <w:rPr>
          <w:rFonts w:ascii="Times New Roman" w:hAnsi="Times New Roman" w:cs="Times New Roman"/>
        </w:rPr>
        <w:t xml:space="preserve"> Patria potestad ejercida conforme lo establecido en el artículo 243 del Código Civil. Cuando la patria potestad sea ejercida conjuntamente, cada titular deberá incluir el 50% del patrimonio del hijo no emancipado.</w:t>
      </w:r>
    </w:p>
  </w:footnote>
  <w:footnote w:id="6">
    <w:p w14:paraId="75A77280" w14:textId="1D70701C" w:rsidR="00C05718" w:rsidRPr="00C05718" w:rsidRDefault="00C05718">
      <w:pPr>
        <w:pStyle w:val="Textonotapie"/>
        <w:rPr>
          <w:rFonts w:ascii="Times New Roman" w:hAnsi="Times New Roman" w:cs="Times New Roman"/>
        </w:rPr>
      </w:pPr>
      <w:r w:rsidRPr="00C05718">
        <w:rPr>
          <w:rStyle w:val="Refdenotaalpie"/>
          <w:rFonts w:ascii="Times New Roman" w:hAnsi="Times New Roman" w:cs="Times New Roman"/>
        </w:rPr>
        <w:footnoteRef/>
      </w:r>
      <w:r w:rsidRPr="00C05718">
        <w:rPr>
          <w:rFonts w:ascii="Times New Roman" w:hAnsi="Times New Roman" w:cs="Times New Roman"/>
        </w:rPr>
        <w:t xml:space="preserve"> </w:t>
      </w:r>
      <w:r>
        <w:rPr>
          <w:rFonts w:ascii="Times New Roman" w:hAnsi="Times New Roman" w:cs="Times New Roman"/>
        </w:rPr>
        <w:t xml:space="preserve">Aproximadamente </w:t>
      </w:r>
      <w:r w:rsidRPr="00C05718">
        <w:rPr>
          <w:rFonts w:ascii="Times New Roman" w:hAnsi="Times New Roman" w:cs="Times New Roman"/>
        </w:rPr>
        <w:t>$12.960 millones.</w:t>
      </w:r>
    </w:p>
  </w:footnote>
  <w:footnote w:id="7">
    <w:p w14:paraId="279BF1B0" w14:textId="77777777" w:rsidR="00297252" w:rsidRPr="00B3224F" w:rsidRDefault="00297252" w:rsidP="00297252">
      <w:pPr>
        <w:pStyle w:val="Textonotapie"/>
        <w:rPr>
          <w:rFonts w:ascii="Times New Roman" w:hAnsi="Times New Roman" w:cs="Times New Roman"/>
          <w:sz w:val="18"/>
          <w:szCs w:val="18"/>
        </w:rPr>
      </w:pPr>
      <w:r w:rsidRPr="003D591D">
        <w:rPr>
          <w:rStyle w:val="Refdenotaalpie"/>
          <w:rFonts w:ascii="Times New Roman" w:hAnsi="Times New Roman" w:cs="Times New Roman"/>
        </w:rPr>
        <w:footnoteRef/>
      </w:r>
      <w:r w:rsidRPr="003D591D">
        <w:rPr>
          <w:rFonts w:ascii="Times New Roman" w:hAnsi="Times New Roman" w:cs="Times New Roman"/>
        </w:rPr>
        <w:t xml:space="preserve"> N° 2 Artículo 97 Código Tributario</w:t>
      </w:r>
    </w:p>
  </w:footnote>
  <w:footnote w:id="8">
    <w:p w14:paraId="2493C08F" w14:textId="77777777" w:rsidR="00297252" w:rsidRPr="00B3224F" w:rsidRDefault="00297252" w:rsidP="00297252">
      <w:pPr>
        <w:pStyle w:val="Textonotapie"/>
      </w:pPr>
      <w:r w:rsidRPr="00C90A37">
        <w:rPr>
          <w:rStyle w:val="Refdenotaalpie"/>
          <w:rFonts w:ascii="Times New Roman" w:hAnsi="Times New Roman" w:cs="Times New Roman"/>
          <w:sz w:val="18"/>
          <w:szCs w:val="18"/>
        </w:rPr>
        <w:footnoteRef/>
      </w:r>
      <w:r w:rsidRPr="00C90A37">
        <w:rPr>
          <w:rFonts w:ascii="Times New Roman" w:hAnsi="Times New Roman" w:cs="Times New Roman"/>
          <w:sz w:val="18"/>
          <w:szCs w:val="18"/>
        </w:rPr>
        <w:t xml:space="preserve"> </w:t>
      </w:r>
      <w:r w:rsidRPr="00B3224F">
        <w:rPr>
          <w:rFonts w:ascii="Times New Roman" w:hAnsi="Times New Roman" w:cs="Times New Roman"/>
          <w:sz w:val="18"/>
          <w:szCs w:val="18"/>
        </w:rPr>
        <w:t>N° 4 Artículo 97 Código Tributario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40E0D" w14:textId="77777777" w:rsidR="0086773E" w:rsidRDefault="0086773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EFCB3" w14:textId="77777777" w:rsidR="006509C3" w:rsidRDefault="00430BAF">
    <w:pPr>
      <w:pStyle w:val="Encabezado"/>
    </w:pPr>
    <w:r>
      <w:tab/>
    </w:r>
    <w:r>
      <w:tab/>
    </w:r>
    <w:r w:rsidRPr="00E6265B">
      <w:rPr>
        <w:rFonts w:ascii="Times New Roman" w:hAnsi="Times New Roman"/>
        <w:noProof/>
        <w:sz w:val="24"/>
        <w:szCs w:val="24"/>
      </w:rPr>
      <w:drawing>
        <wp:inline distT="0" distB="0" distL="0" distR="0" wp14:anchorId="60D1D41C" wp14:editId="6CC32E5B">
          <wp:extent cx="1391867" cy="627321"/>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445" cy="632088"/>
                  </a:xfrm>
                  <a:prstGeom prst="rect">
                    <a:avLst/>
                  </a:prstGeom>
                  <a:noFill/>
                  <a:ln>
                    <a:noFill/>
                  </a:ln>
                </pic:spPr>
              </pic:pic>
            </a:graphicData>
          </a:graphic>
        </wp:inline>
      </w:drawing>
    </w:r>
  </w:p>
  <w:p w14:paraId="18413533" w14:textId="77777777" w:rsidR="006509C3" w:rsidRDefault="009C7F1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CC193" w14:textId="77777777" w:rsidR="0086773E" w:rsidRDefault="0086773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E25A5"/>
    <w:multiLevelType w:val="hybridMultilevel"/>
    <w:tmpl w:val="8FA2CFBE"/>
    <w:lvl w:ilvl="0" w:tplc="8DD00456">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D0F271F"/>
    <w:multiLevelType w:val="hybridMultilevel"/>
    <w:tmpl w:val="CB18F512"/>
    <w:lvl w:ilvl="0" w:tplc="662AF26A">
      <w:start w:val="1"/>
      <w:numFmt w:val="bullet"/>
      <w:lvlText w:val="-"/>
      <w:lvlJc w:val="left"/>
      <w:pPr>
        <w:ind w:left="360" w:hanging="360"/>
      </w:pPr>
      <w:rPr>
        <w:rFonts w:ascii="Times New Roman" w:eastAsiaTheme="minorHAnsi" w:hAnsi="Times New Roman" w:cs="Times New Roman" w:hint="default"/>
      </w:rPr>
    </w:lvl>
    <w:lvl w:ilvl="1" w:tplc="662AF26A">
      <w:start w:val="1"/>
      <w:numFmt w:val="bullet"/>
      <w:lvlText w:val="-"/>
      <w:lvlJc w:val="left"/>
      <w:pPr>
        <w:ind w:left="709" w:hanging="360"/>
      </w:pPr>
      <w:rPr>
        <w:rFonts w:ascii="Times New Roman" w:eastAsiaTheme="minorHAnsi" w:hAnsi="Times New Roman" w:cs="Times New Roman"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15:restartNumberingAfterBreak="0">
    <w:nsid w:val="52AA0F3D"/>
    <w:multiLevelType w:val="hybridMultilevel"/>
    <w:tmpl w:val="9740F78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5387167F"/>
    <w:multiLevelType w:val="multilevel"/>
    <w:tmpl w:val="C63A582E"/>
    <w:lvl w:ilvl="0">
      <w:start w:val="1"/>
      <w:numFmt w:val="decimal"/>
      <w:lvlText w:val="%1."/>
      <w:lvlJc w:val="left"/>
      <w:pPr>
        <w:ind w:left="360" w:hanging="360"/>
      </w:pPr>
      <w:rPr>
        <w:rFonts w:hint="default"/>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10E007C"/>
    <w:multiLevelType w:val="hybridMultilevel"/>
    <w:tmpl w:val="E56603E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383136880">
    <w:abstractNumId w:val="1"/>
  </w:num>
  <w:num w:numId="2" w16cid:durableId="1120495402">
    <w:abstractNumId w:val="4"/>
  </w:num>
  <w:num w:numId="3" w16cid:durableId="1734892288">
    <w:abstractNumId w:val="2"/>
  </w:num>
  <w:num w:numId="4" w16cid:durableId="230697337">
    <w:abstractNumId w:val="3"/>
  </w:num>
  <w:num w:numId="5" w16cid:durableId="486559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252"/>
    <w:rsid w:val="000102BB"/>
    <w:rsid w:val="00051AE2"/>
    <w:rsid w:val="00056E3C"/>
    <w:rsid w:val="00062015"/>
    <w:rsid w:val="00070629"/>
    <w:rsid w:val="000D3711"/>
    <w:rsid w:val="00126357"/>
    <w:rsid w:val="001C79C4"/>
    <w:rsid w:val="001D626D"/>
    <w:rsid w:val="001F71E9"/>
    <w:rsid w:val="00201B59"/>
    <w:rsid w:val="0028697D"/>
    <w:rsid w:val="00290DBA"/>
    <w:rsid w:val="00291DAF"/>
    <w:rsid w:val="00297252"/>
    <w:rsid w:val="002F7731"/>
    <w:rsid w:val="00336EFE"/>
    <w:rsid w:val="00354935"/>
    <w:rsid w:val="00364605"/>
    <w:rsid w:val="0037277F"/>
    <w:rsid w:val="00394128"/>
    <w:rsid w:val="003A0142"/>
    <w:rsid w:val="003D591D"/>
    <w:rsid w:val="00430BAF"/>
    <w:rsid w:val="004374E0"/>
    <w:rsid w:val="00480A9D"/>
    <w:rsid w:val="00483530"/>
    <w:rsid w:val="004C121F"/>
    <w:rsid w:val="004C3A61"/>
    <w:rsid w:val="004D6FF2"/>
    <w:rsid w:val="00520A89"/>
    <w:rsid w:val="0053780E"/>
    <w:rsid w:val="00541FAE"/>
    <w:rsid w:val="005A0849"/>
    <w:rsid w:val="005A25D4"/>
    <w:rsid w:val="00603B8C"/>
    <w:rsid w:val="00613D14"/>
    <w:rsid w:val="006350DF"/>
    <w:rsid w:val="006D3C49"/>
    <w:rsid w:val="00746740"/>
    <w:rsid w:val="00766DBE"/>
    <w:rsid w:val="00777472"/>
    <w:rsid w:val="00793E0B"/>
    <w:rsid w:val="00815B23"/>
    <w:rsid w:val="008376D7"/>
    <w:rsid w:val="00842BEE"/>
    <w:rsid w:val="0086773E"/>
    <w:rsid w:val="00873CBB"/>
    <w:rsid w:val="00890B35"/>
    <w:rsid w:val="008F0FBF"/>
    <w:rsid w:val="00907B0B"/>
    <w:rsid w:val="00915830"/>
    <w:rsid w:val="00915FEF"/>
    <w:rsid w:val="009219F8"/>
    <w:rsid w:val="00935F83"/>
    <w:rsid w:val="00940D58"/>
    <w:rsid w:val="00966FEF"/>
    <w:rsid w:val="00973729"/>
    <w:rsid w:val="009A3216"/>
    <w:rsid w:val="009C7F19"/>
    <w:rsid w:val="009D2127"/>
    <w:rsid w:val="009F6646"/>
    <w:rsid w:val="00A02455"/>
    <w:rsid w:val="00A5273D"/>
    <w:rsid w:val="00A553C5"/>
    <w:rsid w:val="00A64121"/>
    <w:rsid w:val="00AE6F99"/>
    <w:rsid w:val="00B006DA"/>
    <w:rsid w:val="00B1240B"/>
    <w:rsid w:val="00B2775A"/>
    <w:rsid w:val="00B4090E"/>
    <w:rsid w:val="00B66CB7"/>
    <w:rsid w:val="00B729C2"/>
    <w:rsid w:val="00BD3D9E"/>
    <w:rsid w:val="00BF3EFD"/>
    <w:rsid w:val="00C05718"/>
    <w:rsid w:val="00C116A0"/>
    <w:rsid w:val="00C22B80"/>
    <w:rsid w:val="00CC0F26"/>
    <w:rsid w:val="00CC4A1A"/>
    <w:rsid w:val="00D05FBD"/>
    <w:rsid w:val="00D2015D"/>
    <w:rsid w:val="00D8538C"/>
    <w:rsid w:val="00D9341A"/>
    <w:rsid w:val="00DA7899"/>
    <w:rsid w:val="00DF1BD7"/>
    <w:rsid w:val="00E02CC1"/>
    <w:rsid w:val="00E3213B"/>
    <w:rsid w:val="00E45721"/>
    <w:rsid w:val="00E810A8"/>
    <w:rsid w:val="00EF3867"/>
    <w:rsid w:val="00F07D2F"/>
    <w:rsid w:val="00F264AB"/>
    <w:rsid w:val="00F27BED"/>
    <w:rsid w:val="00F50B86"/>
    <w:rsid w:val="00F6515B"/>
    <w:rsid w:val="00F86A79"/>
    <w:rsid w:val="00FA149B"/>
    <w:rsid w:val="00FA6F9E"/>
    <w:rsid w:val="00FC2303"/>
    <w:rsid w:val="00FD1113"/>
    <w:rsid w:val="00FD7687"/>
    <w:rsid w:val="00FF08E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AB2D2"/>
  <w15:chartTrackingRefBased/>
  <w15:docId w15:val="{833E525C-38A5-4FD7-A40D-75965E35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25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72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7252"/>
  </w:style>
  <w:style w:type="paragraph" w:styleId="Piedepgina">
    <w:name w:val="footer"/>
    <w:basedOn w:val="Normal"/>
    <w:link w:val="PiedepginaCar"/>
    <w:uiPriority w:val="99"/>
    <w:unhideWhenUsed/>
    <w:rsid w:val="002972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7252"/>
  </w:style>
  <w:style w:type="paragraph" w:styleId="Prrafodelista">
    <w:name w:val="List Paragraph"/>
    <w:basedOn w:val="Normal"/>
    <w:uiPriority w:val="34"/>
    <w:qFormat/>
    <w:rsid w:val="00297252"/>
    <w:pPr>
      <w:ind w:left="720"/>
      <w:contextualSpacing/>
    </w:pPr>
  </w:style>
  <w:style w:type="paragraph" w:styleId="Textonotapie">
    <w:name w:val="footnote text"/>
    <w:basedOn w:val="Normal"/>
    <w:link w:val="TextonotapieCar"/>
    <w:uiPriority w:val="99"/>
    <w:semiHidden/>
    <w:unhideWhenUsed/>
    <w:rsid w:val="0029725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97252"/>
    <w:rPr>
      <w:sz w:val="20"/>
      <w:szCs w:val="20"/>
    </w:rPr>
  </w:style>
  <w:style w:type="character" w:styleId="Refdenotaalpie">
    <w:name w:val="footnote reference"/>
    <w:basedOn w:val="Fuentedeprrafopredeter"/>
    <w:uiPriority w:val="99"/>
    <w:semiHidden/>
    <w:unhideWhenUsed/>
    <w:rsid w:val="00297252"/>
    <w:rPr>
      <w:vertAlign w:val="superscript"/>
    </w:rPr>
  </w:style>
  <w:style w:type="paragraph" w:styleId="Revisin">
    <w:name w:val="Revision"/>
    <w:hidden/>
    <w:uiPriority w:val="99"/>
    <w:semiHidden/>
    <w:rsid w:val="00940D58"/>
    <w:pPr>
      <w:spacing w:after="0" w:line="240" w:lineRule="auto"/>
    </w:pPr>
  </w:style>
  <w:style w:type="character" w:styleId="Refdecomentario">
    <w:name w:val="annotation reference"/>
    <w:basedOn w:val="Fuentedeprrafopredeter"/>
    <w:uiPriority w:val="99"/>
    <w:semiHidden/>
    <w:unhideWhenUsed/>
    <w:rsid w:val="00FD1113"/>
    <w:rPr>
      <w:sz w:val="16"/>
      <w:szCs w:val="16"/>
    </w:rPr>
  </w:style>
  <w:style w:type="paragraph" w:styleId="Textocomentario">
    <w:name w:val="annotation text"/>
    <w:basedOn w:val="Normal"/>
    <w:link w:val="TextocomentarioCar"/>
    <w:uiPriority w:val="99"/>
    <w:semiHidden/>
    <w:unhideWhenUsed/>
    <w:rsid w:val="00FD111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D1113"/>
    <w:rPr>
      <w:sz w:val="20"/>
      <w:szCs w:val="20"/>
    </w:rPr>
  </w:style>
  <w:style w:type="paragraph" w:styleId="Asuntodelcomentario">
    <w:name w:val="annotation subject"/>
    <w:basedOn w:val="Textocomentario"/>
    <w:next w:val="Textocomentario"/>
    <w:link w:val="AsuntodelcomentarioCar"/>
    <w:uiPriority w:val="99"/>
    <w:semiHidden/>
    <w:unhideWhenUsed/>
    <w:rsid w:val="00FD1113"/>
    <w:rPr>
      <w:b/>
      <w:bCs/>
    </w:rPr>
  </w:style>
  <w:style w:type="character" w:customStyle="1" w:styleId="AsuntodelcomentarioCar">
    <w:name w:val="Asunto del comentario Car"/>
    <w:basedOn w:val="TextocomentarioCar"/>
    <w:link w:val="Asuntodelcomentario"/>
    <w:uiPriority w:val="99"/>
    <w:semiHidden/>
    <w:rsid w:val="00FD1113"/>
    <w:rPr>
      <w:b/>
      <w:bCs/>
      <w:sz w:val="20"/>
      <w:szCs w:val="20"/>
    </w:rPr>
  </w:style>
  <w:style w:type="table" w:styleId="Tablaconcuadrcula">
    <w:name w:val="Table Grid"/>
    <w:basedOn w:val="Tablanormal"/>
    <w:uiPriority w:val="39"/>
    <w:rsid w:val="00907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 I M _ M A ! 2 6 7 3 0 8 . 2 < / d o c u m e n t i d >  
     < s e n d e r i d > M A _ E F E R R E T T O < / s e n d e r i d >  
     < s e n d e r e m a i l > E F E R R E T T O @ M A A B O G A D O S . C L < / s e n d e r e m a i l >  
     < l a s t m o d i f i e d > 2 0 2 2 - 1 0 - 0 7 T 1 0 : 1 4 : 0 0 . 0 0 0 0 0 0 0 - 0 3 : 0 0 < / l a s t m o d i f i e d >  
     < d a t a b a s e > I M _ M A < / 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2800F-A31E-4E7C-A515-684133754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2698</Words>
  <Characters>14844</Characters>
  <Application>Microsoft Office Word</Application>
  <DocSecurity>0</DocSecurity>
  <Lines>123</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Teresita Valverde C.</dc:creator>
  <cp:keywords/>
  <dc:description/>
  <cp:lastModifiedBy>Eliana Ferretto</cp:lastModifiedBy>
  <cp:revision>10</cp:revision>
  <cp:lastPrinted>2022-10-06T20:28:00Z</cp:lastPrinted>
  <dcterms:created xsi:type="dcterms:W3CDTF">2022-10-07T12:30:00Z</dcterms:created>
  <dcterms:modified xsi:type="dcterms:W3CDTF">2022-10-07T13:14:00Z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#267308v2&lt;im_ma&gt; - Newsletter Impuesto al Patrimonio con indicaciones</vt:lpwstr>
  </property>
</Properties>
</file>