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6B6E" w14:textId="77777777" w:rsidR="00A84732" w:rsidRPr="00E11049" w:rsidRDefault="00A84732" w:rsidP="00A47078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  <w:smallCaps/>
          <w:sz w:val="24"/>
          <w:szCs w:val="24"/>
          <w:lang w:val="es-ES"/>
        </w:rPr>
      </w:pPr>
    </w:p>
    <w:p w14:paraId="65FA4848" w14:textId="77777777" w:rsidR="00003658" w:rsidRPr="00E11049" w:rsidRDefault="00003658" w:rsidP="000036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B33805" w14:textId="77777777" w:rsidR="008A49C6" w:rsidRDefault="000631D5" w:rsidP="0007783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ACTUALIZACIÓN </w:t>
      </w:r>
    </w:p>
    <w:p w14:paraId="204D3ADB" w14:textId="3E967FD7" w:rsidR="00A90BA4" w:rsidRPr="00E11049" w:rsidRDefault="008A49C6" w:rsidP="0007783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INDICACIONES </w:t>
      </w:r>
      <w:r w:rsidR="00796CCB" w:rsidRPr="00E11049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N E</w:t>
      </w:r>
      <w:r w:rsidR="00796CCB" w:rsidRPr="00E11049">
        <w:rPr>
          <w:rFonts w:ascii="Times New Roman" w:hAnsi="Times New Roman" w:cs="Times New Roman"/>
          <w:b/>
          <w:sz w:val="24"/>
          <w:szCs w:val="24"/>
        </w:rPr>
        <w:t xml:space="preserve">L PROYECTO DE REFORMA TRIBUTARIA </w:t>
      </w:r>
    </w:p>
    <w:p w14:paraId="62559FC6" w14:textId="579D0A06" w:rsidR="0088571C" w:rsidRPr="00E11049" w:rsidRDefault="008A49C6" w:rsidP="00A90BA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SOBRE LAS NORMAS DE RELACIÓN</w:t>
      </w:r>
    </w:p>
    <w:p w14:paraId="05B9E668" w14:textId="77777777" w:rsidR="008943A7" w:rsidRPr="00E11049" w:rsidRDefault="008943A7" w:rsidP="00003658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0CC28F9" w14:textId="3ED67C5A" w:rsidR="008A49C6" w:rsidRDefault="008A49C6" w:rsidP="00DF28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 fecha 4 de octubre de 2022, el Gobierno presentó las primeras indicaciones al </w:t>
      </w:r>
      <w:r w:rsidR="00A47078" w:rsidRPr="00E11049">
        <w:rPr>
          <w:rFonts w:ascii="Times New Roman" w:hAnsi="Times New Roman" w:cs="Times New Roman"/>
          <w:bCs/>
          <w:sz w:val="24"/>
          <w:szCs w:val="24"/>
        </w:rPr>
        <w:t>Proyecto de Ley de Reforma Tributaria</w:t>
      </w:r>
      <w:r>
        <w:rPr>
          <w:rFonts w:ascii="Times New Roman" w:hAnsi="Times New Roman" w:cs="Times New Roman"/>
          <w:bCs/>
          <w:sz w:val="24"/>
          <w:szCs w:val="24"/>
        </w:rPr>
        <w:t xml:space="preserve"> en tramitación, dentro de las cuales se amplía</w:t>
      </w:r>
      <w:r w:rsidR="00F754E5">
        <w:rPr>
          <w:rFonts w:ascii="Times New Roman" w:hAnsi="Times New Roman" w:cs="Times New Roman"/>
          <w:bCs/>
          <w:sz w:val="24"/>
          <w:szCs w:val="24"/>
        </w:rPr>
        <w:t xml:space="preserve">n las hipótesis de relación </w:t>
      </w:r>
      <w:r>
        <w:rPr>
          <w:rFonts w:ascii="Times New Roman" w:hAnsi="Times New Roman" w:cs="Times New Roman"/>
          <w:bCs/>
          <w:sz w:val="24"/>
          <w:szCs w:val="24"/>
        </w:rPr>
        <w:t xml:space="preserve">contenidas en el artículo </w:t>
      </w:r>
      <w:r w:rsidR="00F754E5">
        <w:rPr>
          <w:rFonts w:ascii="Times New Roman" w:hAnsi="Times New Roman" w:cs="Times New Roman"/>
          <w:bCs/>
          <w:sz w:val="24"/>
          <w:szCs w:val="24"/>
        </w:rPr>
        <w:t xml:space="preserve">8 N° 17 del Código Tributario. </w:t>
      </w:r>
    </w:p>
    <w:p w14:paraId="4B9643C1" w14:textId="77777777" w:rsidR="00F03521" w:rsidRPr="00E11049" w:rsidRDefault="00F03521" w:rsidP="00DF28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791A13" w14:textId="0A80919C" w:rsidR="008A49C6" w:rsidRDefault="00F754E5" w:rsidP="008C4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Según la indicación, se agregó a los “parientes hasta el segundo grado de consanguinidad o afinidad”, por tanto, l</w:t>
      </w:r>
      <w:r w:rsidR="008A49C6">
        <w:rPr>
          <w:rFonts w:ascii="Times New Roman" w:hAnsi="Times New Roman" w:cs="Times New Roman"/>
          <w:sz w:val="24"/>
          <w:szCs w:val="24"/>
        </w:rPr>
        <w:t>a</w:t>
      </w:r>
      <w:r w:rsidR="00F03521" w:rsidRPr="00E11049">
        <w:rPr>
          <w:rFonts w:ascii="Times New Roman" w:hAnsi="Times New Roman" w:cs="Times New Roman"/>
          <w:sz w:val="24"/>
          <w:szCs w:val="24"/>
        </w:rPr>
        <w:t>s hipótesis de relación</w:t>
      </w:r>
      <w:r>
        <w:rPr>
          <w:rFonts w:ascii="Times New Roman" w:hAnsi="Times New Roman" w:cs="Times New Roman"/>
          <w:sz w:val="24"/>
          <w:szCs w:val="24"/>
        </w:rPr>
        <w:t xml:space="preserve"> serían</w:t>
      </w:r>
      <w:r w:rsidR="008A49C6">
        <w:rPr>
          <w:rFonts w:ascii="Times New Roman" w:hAnsi="Times New Roman" w:cs="Times New Roman"/>
          <w:sz w:val="24"/>
          <w:szCs w:val="24"/>
        </w:rPr>
        <w:t xml:space="preserve"> las siguientes:</w:t>
      </w:r>
    </w:p>
    <w:p w14:paraId="7972F1F2" w14:textId="77777777" w:rsidR="008A49C6" w:rsidRDefault="008A49C6" w:rsidP="008C4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43218" w14:textId="77777777" w:rsidR="008A49C6" w:rsidRPr="00F754E5" w:rsidRDefault="008A49C6" w:rsidP="008A49C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</w:pPr>
      <w:r w:rsidRPr="00F754E5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  <w:t>C</w:t>
      </w:r>
      <w:r w:rsidR="00E11049" w:rsidRPr="00F754E5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  <w:t>ónyuge</w:t>
      </w:r>
    </w:p>
    <w:p w14:paraId="2C1BDE47" w14:textId="77777777" w:rsidR="008A49C6" w:rsidRPr="00F754E5" w:rsidRDefault="008A49C6" w:rsidP="008A49C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</w:pPr>
      <w:r w:rsidRPr="00F754E5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  <w:t>C</w:t>
      </w:r>
      <w:r w:rsidR="00E11049" w:rsidRPr="00F754E5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  <w:t>onviviente civil</w:t>
      </w:r>
    </w:p>
    <w:p w14:paraId="36D3CDD0" w14:textId="0D9B034E" w:rsidR="008A49C6" w:rsidRPr="00F754E5" w:rsidRDefault="008A49C6" w:rsidP="008A49C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</w:pPr>
      <w:r w:rsidRPr="00F754E5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  <w:t>A</w:t>
      </w:r>
      <w:r w:rsidR="00E11049" w:rsidRPr="00F754E5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  <w:t xml:space="preserve">scendientes </w:t>
      </w:r>
      <w:r w:rsidRPr="00F754E5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  <w:t>y</w:t>
      </w:r>
      <w:r w:rsidR="00E11049" w:rsidRPr="00F754E5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754E5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  <w:t>D</w:t>
      </w:r>
      <w:r w:rsidR="00E11049" w:rsidRPr="00F754E5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  <w:t>escendientes</w:t>
      </w:r>
      <w:r w:rsidRPr="00F754E5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754E5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  <w:t>hasta el segundo grado de consanguinidad (</w:t>
      </w:r>
      <w:r w:rsidR="00F754E5" w:rsidRPr="00F754E5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  <w:t>abuelos, padres, hijos, nietos</w:t>
      </w:r>
      <w:r w:rsidRPr="00F754E5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  <w:t xml:space="preserve">) o afinidad </w:t>
      </w:r>
      <w:r w:rsidR="00F754E5" w:rsidRPr="00F754E5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  <w:t>(suegros, yerno, nuera)</w:t>
      </w:r>
    </w:p>
    <w:p w14:paraId="7E2F46E2" w14:textId="582AD8EF" w:rsidR="008A49C6" w:rsidRPr="00F754E5" w:rsidRDefault="008A49C6" w:rsidP="008A49C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</w:pPr>
      <w:r w:rsidRPr="00F754E5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  <w:t>Parientes</w:t>
      </w:r>
      <w:r w:rsidR="00E11049" w:rsidRPr="00F754E5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  <w:t xml:space="preserve"> hasta el segundo grado de consanguinidad </w:t>
      </w:r>
      <w:r w:rsidRPr="00F754E5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  <w:t xml:space="preserve">(hermanos) </w:t>
      </w:r>
      <w:r w:rsidR="00E11049" w:rsidRPr="00F754E5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  <w:t>o afinidad</w:t>
      </w:r>
      <w:r w:rsidR="00936F25" w:rsidRPr="00F754E5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754E5" w:rsidRPr="00F754E5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  <w:t>(cuñados)</w:t>
      </w:r>
    </w:p>
    <w:p w14:paraId="470AE41C" w14:textId="015ED070" w:rsidR="008A49C6" w:rsidRPr="00F754E5" w:rsidRDefault="008A49C6" w:rsidP="008A49C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</w:pPr>
      <w:r w:rsidRPr="00F754E5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  <w:t>O</w:t>
      </w:r>
      <w:r w:rsidR="00936F25" w:rsidRPr="00F754E5"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  <w:t>tras hipótesis que calificará el SII</w:t>
      </w:r>
    </w:p>
    <w:p w14:paraId="68C1C3E9" w14:textId="690C8B58" w:rsidR="008A49C6" w:rsidRPr="008A49C6" w:rsidRDefault="008A49C6" w:rsidP="008C42C7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4"/>
          <w:szCs w:val="24"/>
        </w:rPr>
      </w:pPr>
    </w:p>
    <w:p w14:paraId="60B58729" w14:textId="77777777" w:rsidR="008A49C6" w:rsidRDefault="008A49C6" w:rsidP="008C42C7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</w:pPr>
    </w:p>
    <w:p w14:paraId="3081C3B7" w14:textId="7F0EA634" w:rsidR="00F03521" w:rsidRPr="00E11049" w:rsidRDefault="008A49C6" w:rsidP="008A49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Lo anterior tendrá efectos en el </w:t>
      </w:r>
      <w:r w:rsidR="008C42C7" w:rsidRPr="00E11049">
        <w:rPr>
          <w:rFonts w:ascii="Times New Roman" w:hAnsi="Times New Roman" w:cs="Times New Roman"/>
          <w:sz w:val="24"/>
          <w:szCs w:val="24"/>
        </w:rPr>
        <w:t xml:space="preserve">límite de UF 2.400 bajo el cual no se requiere reconocer las rentas pasivas de entidades controladas en el extranjero, </w:t>
      </w:r>
      <w:r w:rsidR="00F754E5">
        <w:rPr>
          <w:rFonts w:ascii="Times New Roman" w:hAnsi="Times New Roman" w:cs="Times New Roman"/>
          <w:sz w:val="24"/>
          <w:szCs w:val="24"/>
        </w:rPr>
        <w:t>ya que,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2C7" w:rsidRPr="00E11049">
        <w:rPr>
          <w:rFonts w:ascii="Times New Roman" w:hAnsi="Times New Roman" w:cs="Times New Roman"/>
          <w:color w:val="000000"/>
          <w:sz w:val="24"/>
          <w:szCs w:val="24"/>
        </w:rPr>
        <w:t>con las modificaciones sugeridas</w:t>
      </w:r>
      <w:r w:rsidR="00E11049">
        <w:rPr>
          <w:rFonts w:ascii="Times New Roman" w:hAnsi="Times New Roman" w:cs="Times New Roman"/>
          <w:color w:val="000000"/>
          <w:sz w:val="24"/>
          <w:szCs w:val="24"/>
        </w:rPr>
        <w:t xml:space="preserve"> en el Proyecto de Ley</w:t>
      </w:r>
      <w:r w:rsidR="00F03521" w:rsidRPr="00E110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36F25" w:rsidRPr="00E11049">
        <w:rPr>
          <w:rFonts w:ascii="Times New Roman" w:hAnsi="Times New Roman" w:cs="Times New Roman"/>
          <w:color w:val="000000"/>
          <w:sz w:val="24"/>
          <w:szCs w:val="24"/>
        </w:rPr>
        <w:t xml:space="preserve">se tributará en base devengada </w:t>
      </w:r>
      <w:r w:rsidR="00F03521" w:rsidRPr="00E11049">
        <w:rPr>
          <w:rFonts w:ascii="Times New Roman" w:hAnsi="Times New Roman" w:cs="Times New Roman"/>
          <w:color w:val="000000"/>
          <w:sz w:val="24"/>
          <w:szCs w:val="24"/>
        </w:rPr>
        <w:t>en caso de que la utilidad tributaria anual por las rentas de fuente extranjera supere las UF 2.400</w:t>
      </w:r>
      <w:r w:rsidR="008C42C7" w:rsidRPr="00E110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C42C7" w:rsidRPr="008A49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incluidos los relacionados</w:t>
      </w:r>
      <w:r w:rsidR="00275F6A">
        <w:rPr>
          <w:rFonts w:ascii="Times New Roman" w:hAnsi="Times New Roman" w:cs="Times New Roman"/>
          <w:color w:val="000000"/>
          <w:sz w:val="24"/>
          <w:szCs w:val="24"/>
        </w:rPr>
        <w:t>, de acuerdo a las nuevas disposiciones de la norma de relación.</w:t>
      </w:r>
    </w:p>
    <w:p w14:paraId="669B8895" w14:textId="1FA65AF7" w:rsidR="00F03521" w:rsidRPr="00E11049" w:rsidRDefault="00F03521" w:rsidP="00F03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25A6A" w14:textId="107C3E1E" w:rsidR="007C4BD4" w:rsidRPr="00E11049" w:rsidRDefault="007C4BD4" w:rsidP="004D319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0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***********************</w:t>
      </w:r>
    </w:p>
    <w:p w14:paraId="3140FCC9" w14:textId="77777777" w:rsidR="007C4BD4" w:rsidRPr="00E11049" w:rsidRDefault="007C4BD4" w:rsidP="004D3191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937AA4" w14:textId="0410EA42" w:rsidR="00EF6639" w:rsidRPr="00E11049" w:rsidRDefault="00EF6639" w:rsidP="007C4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049">
        <w:rPr>
          <w:rFonts w:ascii="Times New Roman" w:hAnsi="Times New Roman" w:cs="Times New Roman"/>
          <w:sz w:val="24"/>
          <w:szCs w:val="24"/>
        </w:rPr>
        <w:t xml:space="preserve">La información contenida en el presente reporte es exclusivamente para uso informativo y no constituye una asesoría tributaria ni legal por parte de Mena Alessandri </w:t>
      </w:r>
      <w:r w:rsidR="00835EFC" w:rsidRPr="00E11049">
        <w:rPr>
          <w:rFonts w:ascii="Times New Roman" w:hAnsi="Times New Roman" w:cs="Times New Roman"/>
          <w:sz w:val="24"/>
          <w:szCs w:val="24"/>
        </w:rPr>
        <w:t xml:space="preserve">&amp; </w:t>
      </w:r>
      <w:r w:rsidRPr="00E11049">
        <w:rPr>
          <w:rFonts w:ascii="Times New Roman" w:hAnsi="Times New Roman" w:cs="Times New Roman"/>
          <w:sz w:val="24"/>
          <w:szCs w:val="24"/>
        </w:rPr>
        <w:t>A</w:t>
      </w:r>
      <w:r w:rsidR="00835EFC" w:rsidRPr="00E11049">
        <w:rPr>
          <w:rFonts w:ascii="Times New Roman" w:hAnsi="Times New Roman" w:cs="Times New Roman"/>
          <w:sz w:val="24"/>
          <w:szCs w:val="24"/>
        </w:rPr>
        <w:t>sociados</w:t>
      </w:r>
      <w:r w:rsidRPr="00E110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F78D51" w14:textId="77777777" w:rsidR="004D3191" w:rsidRPr="00E11049" w:rsidRDefault="004D3191" w:rsidP="007C4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BB66F" w14:textId="222A94CB" w:rsidR="00003658" w:rsidRPr="00E11049" w:rsidRDefault="00EF6639" w:rsidP="007C4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049">
        <w:rPr>
          <w:rFonts w:ascii="Times New Roman" w:hAnsi="Times New Roman" w:cs="Times New Roman"/>
          <w:sz w:val="24"/>
          <w:szCs w:val="24"/>
        </w:rPr>
        <w:t xml:space="preserve">De la misma manera, el presente reporte no implica una opinión ni recomendación por parte de </w:t>
      </w:r>
      <w:r w:rsidR="00835EFC" w:rsidRPr="00E11049">
        <w:rPr>
          <w:rFonts w:ascii="Times New Roman" w:hAnsi="Times New Roman" w:cs="Times New Roman"/>
          <w:sz w:val="24"/>
          <w:szCs w:val="24"/>
        </w:rPr>
        <w:t xml:space="preserve">Mena Alessandri &amp; Asociados </w:t>
      </w:r>
      <w:r w:rsidRPr="00E11049">
        <w:rPr>
          <w:rFonts w:ascii="Times New Roman" w:hAnsi="Times New Roman" w:cs="Times New Roman"/>
          <w:sz w:val="24"/>
          <w:szCs w:val="24"/>
        </w:rPr>
        <w:t>respecto de la situación particular de los receptores del mismo, ni sobre la aplicación de las citadas normas y regulaciones a dichos receptores.</w:t>
      </w:r>
      <w:r w:rsidR="00A55DED" w:rsidRPr="00E1104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3658" w:rsidRPr="00E11049" w:rsidSect="00D461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12B49" w14:textId="77777777" w:rsidR="00F37E5A" w:rsidRDefault="00F37E5A" w:rsidP="001126AD">
      <w:pPr>
        <w:spacing w:after="0" w:line="240" w:lineRule="auto"/>
      </w:pPr>
      <w:r>
        <w:separator/>
      </w:r>
    </w:p>
  </w:endnote>
  <w:endnote w:type="continuationSeparator" w:id="0">
    <w:p w14:paraId="08843D91" w14:textId="77777777" w:rsidR="00F37E5A" w:rsidRDefault="00F37E5A" w:rsidP="0011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DD5B" w14:textId="77777777" w:rsidR="009A51D7" w:rsidRDefault="009A51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0EB9" w14:textId="77777777" w:rsidR="00F37E5A" w:rsidRDefault="00F37E5A" w:rsidP="003E04CE">
    <w:pPr>
      <w:spacing w:after="0" w:line="240" w:lineRule="auto"/>
      <w:jc w:val="center"/>
      <w:rPr>
        <w:rFonts w:ascii="Times New Roman" w:hAnsi="Times New Roman" w:cs="Times New Roman"/>
        <w:color w:val="444444"/>
        <w:sz w:val="18"/>
        <w:szCs w:val="18"/>
        <w:lang w:eastAsia="es-CL"/>
      </w:rPr>
    </w:pPr>
  </w:p>
  <w:p w14:paraId="2E9F52D7" w14:textId="64875A53" w:rsidR="00F37E5A" w:rsidRDefault="00F37E5A" w:rsidP="003E04CE">
    <w:pPr>
      <w:spacing w:after="0" w:line="240" w:lineRule="auto"/>
      <w:jc w:val="center"/>
      <w:rPr>
        <w:rFonts w:ascii="Times New Roman" w:hAnsi="Times New Roman" w:cs="Times New Roman"/>
        <w:color w:val="444444"/>
        <w:sz w:val="18"/>
        <w:szCs w:val="18"/>
        <w:lang w:eastAsia="es-CL"/>
      </w:rPr>
    </w:pPr>
    <w:r w:rsidRPr="00A20F89">
      <w:rPr>
        <w:rFonts w:ascii="Times New Roman" w:hAnsi="Times New Roman" w:cs="Times New Roman"/>
        <w:color w:val="444444"/>
        <w:sz w:val="18"/>
        <w:szCs w:val="18"/>
        <w:lang w:eastAsia="es-CL"/>
      </w:rPr>
      <w:t xml:space="preserve">Rosario Norte 555 Oficina </w:t>
    </w:r>
    <w:r>
      <w:rPr>
        <w:rFonts w:ascii="Times New Roman" w:hAnsi="Times New Roman" w:cs="Times New Roman"/>
        <w:color w:val="444444"/>
        <w:sz w:val="18"/>
        <w:szCs w:val="18"/>
        <w:lang w:eastAsia="es-CL"/>
      </w:rPr>
      <w:t>601</w:t>
    </w:r>
    <w:r w:rsidRPr="00A20F89">
      <w:rPr>
        <w:rFonts w:ascii="Times New Roman" w:hAnsi="Times New Roman" w:cs="Times New Roman"/>
        <w:color w:val="444444"/>
        <w:sz w:val="18"/>
        <w:szCs w:val="18"/>
        <w:lang w:eastAsia="es-CL"/>
      </w:rPr>
      <w:t xml:space="preserve"> - Las Condes, Santiago, Chile</w:t>
    </w:r>
  </w:p>
  <w:p w14:paraId="2A12DB97" w14:textId="4E59732C" w:rsidR="00F37E5A" w:rsidRPr="00A20F89" w:rsidRDefault="00F37E5A" w:rsidP="003E04CE">
    <w:pPr>
      <w:spacing w:after="0" w:line="240" w:lineRule="auto"/>
      <w:jc w:val="center"/>
      <w:rPr>
        <w:rFonts w:ascii="Times New Roman" w:hAnsi="Times New Roman" w:cs="Times New Roman"/>
        <w:color w:val="000000"/>
        <w:sz w:val="18"/>
        <w:szCs w:val="18"/>
        <w:lang w:eastAsia="es-CL"/>
      </w:rPr>
    </w:pPr>
    <w:r>
      <w:rPr>
        <w:rFonts w:ascii="Times New Roman" w:hAnsi="Times New Roman" w:cs="Times New Roman"/>
        <w:color w:val="444444"/>
        <w:sz w:val="18"/>
        <w:szCs w:val="18"/>
        <w:lang w:eastAsia="es-CL"/>
      </w:rPr>
      <w:t>Fono: +562 32396730</w:t>
    </w:r>
  </w:p>
  <w:p w14:paraId="25519003" w14:textId="6F3508B4" w:rsidR="00F37E5A" w:rsidRPr="00A47078" w:rsidRDefault="008F4CAB" w:rsidP="00A47078">
    <w:pPr>
      <w:spacing w:after="0" w:line="240" w:lineRule="auto"/>
      <w:jc w:val="center"/>
      <w:rPr>
        <w:rFonts w:ascii="Times New Roman" w:hAnsi="Times New Roman" w:cs="Times New Roman"/>
        <w:color w:val="000000"/>
        <w:sz w:val="18"/>
        <w:szCs w:val="18"/>
        <w:lang w:eastAsia="es-CL"/>
      </w:rPr>
    </w:pPr>
    <w:hyperlink r:id="rId1" w:history="1">
      <w:r w:rsidR="00F37E5A" w:rsidRPr="00A20F89">
        <w:rPr>
          <w:rStyle w:val="Hipervnculo"/>
          <w:rFonts w:ascii="Times New Roman" w:hAnsi="Times New Roman" w:cs="Times New Roman"/>
          <w:color w:val="0000FF"/>
          <w:sz w:val="18"/>
          <w:szCs w:val="18"/>
          <w:lang w:eastAsia="es-CL"/>
        </w:rPr>
        <w:t>www.maabogados.cl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74E4" w14:textId="77777777" w:rsidR="009A51D7" w:rsidRDefault="009A51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269AE" w14:textId="77777777" w:rsidR="00F37E5A" w:rsidRDefault="00F37E5A" w:rsidP="001126AD">
      <w:pPr>
        <w:spacing w:after="0" w:line="240" w:lineRule="auto"/>
      </w:pPr>
      <w:r>
        <w:separator/>
      </w:r>
    </w:p>
  </w:footnote>
  <w:footnote w:type="continuationSeparator" w:id="0">
    <w:p w14:paraId="72B0FAAA" w14:textId="77777777" w:rsidR="00F37E5A" w:rsidRDefault="00F37E5A" w:rsidP="00112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E307" w14:textId="77777777" w:rsidR="009A51D7" w:rsidRDefault="009A51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B067" w14:textId="1F931657" w:rsidR="00F37E5A" w:rsidRDefault="00F37E5A" w:rsidP="003E04CE">
    <w:pPr>
      <w:pStyle w:val="Encabezado"/>
      <w:jc w:val="right"/>
    </w:pPr>
    <w:r>
      <w:rPr>
        <w:noProof/>
      </w:rPr>
      <w:drawing>
        <wp:inline distT="0" distB="0" distL="0" distR="0" wp14:anchorId="68CCBF5A" wp14:editId="14638851">
          <wp:extent cx="1492557" cy="676275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391" cy="685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FB6038" w14:textId="77777777" w:rsidR="00F37E5A" w:rsidRDefault="00F37E5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BE4C" w14:textId="77777777" w:rsidR="009A51D7" w:rsidRDefault="009A51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F64"/>
    <w:multiLevelType w:val="hybridMultilevel"/>
    <w:tmpl w:val="DEE81FD4"/>
    <w:lvl w:ilvl="0" w:tplc="7F0201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6B5E6B"/>
    <w:multiLevelType w:val="hybridMultilevel"/>
    <w:tmpl w:val="CDB8A87C"/>
    <w:lvl w:ilvl="0" w:tplc="99DE6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E066C"/>
    <w:multiLevelType w:val="hybridMultilevel"/>
    <w:tmpl w:val="FA008408"/>
    <w:lvl w:ilvl="0" w:tplc="99DE6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C67B4"/>
    <w:multiLevelType w:val="hybridMultilevel"/>
    <w:tmpl w:val="CC4E7EBA"/>
    <w:lvl w:ilvl="0" w:tplc="CEA889DE">
      <w:numFmt w:val="bullet"/>
      <w:lvlText w:val="-"/>
      <w:lvlJc w:val="left"/>
      <w:pPr>
        <w:ind w:left="298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CEA889DE"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972E5C42">
      <w:numFmt w:val="bullet"/>
      <w:lvlText w:val="•"/>
      <w:lvlJc w:val="left"/>
      <w:pPr>
        <w:ind w:left="1967" w:hanging="360"/>
      </w:pPr>
      <w:rPr>
        <w:rFonts w:hint="default"/>
        <w:lang w:val="es-ES" w:eastAsia="en-US" w:bidi="ar-SA"/>
      </w:rPr>
    </w:lvl>
    <w:lvl w:ilvl="3" w:tplc="CE8C4A8C">
      <w:numFmt w:val="bullet"/>
      <w:lvlText w:val="•"/>
      <w:lvlJc w:val="left"/>
      <w:pPr>
        <w:ind w:left="2858" w:hanging="360"/>
      </w:pPr>
      <w:rPr>
        <w:rFonts w:hint="default"/>
        <w:lang w:val="es-ES" w:eastAsia="en-US" w:bidi="ar-SA"/>
      </w:rPr>
    </w:lvl>
    <w:lvl w:ilvl="4" w:tplc="4D422D3C">
      <w:numFmt w:val="bullet"/>
      <w:lvlText w:val="•"/>
      <w:lvlJc w:val="left"/>
      <w:pPr>
        <w:ind w:left="3749" w:hanging="360"/>
      </w:pPr>
      <w:rPr>
        <w:rFonts w:hint="default"/>
        <w:lang w:val="es-ES" w:eastAsia="en-US" w:bidi="ar-SA"/>
      </w:rPr>
    </w:lvl>
    <w:lvl w:ilvl="5" w:tplc="AB623814">
      <w:numFmt w:val="bullet"/>
      <w:lvlText w:val="•"/>
      <w:lvlJc w:val="left"/>
      <w:pPr>
        <w:ind w:left="4640" w:hanging="360"/>
      </w:pPr>
      <w:rPr>
        <w:rFonts w:hint="default"/>
        <w:lang w:val="es-ES" w:eastAsia="en-US" w:bidi="ar-SA"/>
      </w:rPr>
    </w:lvl>
    <w:lvl w:ilvl="6" w:tplc="E38ADA20">
      <w:numFmt w:val="bullet"/>
      <w:lvlText w:val="•"/>
      <w:lvlJc w:val="left"/>
      <w:pPr>
        <w:ind w:left="5531" w:hanging="360"/>
      </w:pPr>
      <w:rPr>
        <w:rFonts w:hint="default"/>
        <w:lang w:val="es-ES" w:eastAsia="en-US" w:bidi="ar-SA"/>
      </w:rPr>
    </w:lvl>
    <w:lvl w:ilvl="7" w:tplc="95ECE7B0">
      <w:numFmt w:val="bullet"/>
      <w:lvlText w:val="•"/>
      <w:lvlJc w:val="left"/>
      <w:pPr>
        <w:ind w:left="6422" w:hanging="360"/>
      </w:pPr>
      <w:rPr>
        <w:rFonts w:hint="default"/>
        <w:lang w:val="es-ES" w:eastAsia="en-US" w:bidi="ar-SA"/>
      </w:rPr>
    </w:lvl>
    <w:lvl w:ilvl="8" w:tplc="EF0C2C80">
      <w:numFmt w:val="bullet"/>
      <w:lvlText w:val="•"/>
      <w:lvlJc w:val="left"/>
      <w:pPr>
        <w:ind w:left="731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A480B8A"/>
    <w:multiLevelType w:val="hybridMultilevel"/>
    <w:tmpl w:val="DEF28D76"/>
    <w:lvl w:ilvl="0" w:tplc="74E626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A32DF"/>
    <w:multiLevelType w:val="hybridMultilevel"/>
    <w:tmpl w:val="F32431C2"/>
    <w:lvl w:ilvl="0" w:tplc="BF86F6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907394"/>
    <w:multiLevelType w:val="hybridMultilevel"/>
    <w:tmpl w:val="C2501E78"/>
    <w:lvl w:ilvl="0" w:tplc="BA922196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902709057">
    <w:abstractNumId w:val="0"/>
  </w:num>
  <w:num w:numId="2" w16cid:durableId="953753906">
    <w:abstractNumId w:val="4"/>
  </w:num>
  <w:num w:numId="3" w16cid:durableId="1123957505">
    <w:abstractNumId w:val="6"/>
  </w:num>
  <w:num w:numId="4" w16cid:durableId="1246652368">
    <w:abstractNumId w:val="5"/>
  </w:num>
  <w:num w:numId="5" w16cid:durableId="311954659">
    <w:abstractNumId w:val="1"/>
  </w:num>
  <w:num w:numId="6" w16cid:durableId="733314808">
    <w:abstractNumId w:val="3"/>
  </w:num>
  <w:num w:numId="7" w16cid:durableId="178731364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NDIztzQyMDM0NDBQ0lEKTi0uzszPAykwqgUAUj0ZEiwAAAA="/>
  </w:docVars>
  <w:rsids>
    <w:rsidRoot w:val="001126AD"/>
    <w:rsid w:val="00003658"/>
    <w:rsid w:val="000631D5"/>
    <w:rsid w:val="00077830"/>
    <w:rsid w:val="000854CB"/>
    <w:rsid w:val="00085EBE"/>
    <w:rsid w:val="000C251C"/>
    <w:rsid w:val="001126AD"/>
    <w:rsid w:val="001255D2"/>
    <w:rsid w:val="00140B01"/>
    <w:rsid w:val="001450E8"/>
    <w:rsid w:val="00175E12"/>
    <w:rsid w:val="001C38F7"/>
    <w:rsid w:val="001C7794"/>
    <w:rsid w:val="001D0D01"/>
    <w:rsid w:val="001E5C5F"/>
    <w:rsid w:val="002219D5"/>
    <w:rsid w:val="00230B93"/>
    <w:rsid w:val="00275F6A"/>
    <w:rsid w:val="00295C2B"/>
    <w:rsid w:val="002A778F"/>
    <w:rsid w:val="002B2D9F"/>
    <w:rsid w:val="002D0086"/>
    <w:rsid w:val="002D19D0"/>
    <w:rsid w:val="002F0865"/>
    <w:rsid w:val="00306D84"/>
    <w:rsid w:val="003245E5"/>
    <w:rsid w:val="0033354D"/>
    <w:rsid w:val="003411D5"/>
    <w:rsid w:val="003A32FC"/>
    <w:rsid w:val="003B4F95"/>
    <w:rsid w:val="003E04CE"/>
    <w:rsid w:val="004065EF"/>
    <w:rsid w:val="004172A7"/>
    <w:rsid w:val="00424041"/>
    <w:rsid w:val="00441654"/>
    <w:rsid w:val="004537BC"/>
    <w:rsid w:val="00477A5D"/>
    <w:rsid w:val="0049001C"/>
    <w:rsid w:val="004C4422"/>
    <w:rsid w:val="004D3191"/>
    <w:rsid w:val="004D6F97"/>
    <w:rsid w:val="004F4E8B"/>
    <w:rsid w:val="00513093"/>
    <w:rsid w:val="0053300B"/>
    <w:rsid w:val="005519D3"/>
    <w:rsid w:val="00596123"/>
    <w:rsid w:val="005B51D5"/>
    <w:rsid w:val="005D6229"/>
    <w:rsid w:val="005E3D22"/>
    <w:rsid w:val="005E40B9"/>
    <w:rsid w:val="005F1ACB"/>
    <w:rsid w:val="005F1D05"/>
    <w:rsid w:val="005F562D"/>
    <w:rsid w:val="00644C24"/>
    <w:rsid w:val="00687A89"/>
    <w:rsid w:val="00691257"/>
    <w:rsid w:val="006A03C5"/>
    <w:rsid w:val="006B5BFA"/>
    <w:rsid w:val="006D61F6"/>
    <w:rsid w:val="006D73D7"/>
    <w:rsid w:val="00714DFD"/>
    <w:rsid w:val="00715F2B"/>
    <w:rsid w:val="0072338B"/>
    <w:rsid w:val="007240CF"/>
    <w:rsid w:val="007273C0"/>
    <w:rsid w:val="007311A4"/>
    <w:rsid w:val="007354E3"/>
    <w:rsid w:val="00747B80"/>
    <w:rsid w:val="00750001"/>
    <w:rsid w:val="007539A2"/>
    <w:rsid w:val="00763F58"/>
    <w:rsid w:val="00771C83"/>
    <w:rsid w:val="00772CC1"/>
    <w:rsid w:val="00796CCB"/>
    <w:rsid w:val="007C4BD4"/>
    <w:rsid w:val="007D48F8"/>
    <w:rsid w:val="00835A35"/>
    <w:rsid w:val="00835EFC"/>
    <w:rsid w:val="00876B13"/>
    <w:rsid w:val="00876C79"/>
    <w:rsid w:val="00881020"/>
    <w:rsid w:val="0088571C"/>
    <w:rsid w:val="008943A7"/>
    <w:rsid w:val="008A49C6"/>
    <w:rsid w:val="008A59B8"/>
    <w:rsid w:val="008C42C7"/>
    <w:rsid w:val="008D621E"/>
    <w:rsid w:val="008F4CAB"/>
    <w:rsid w:val="00936F25"/>
    <w:rsid w:val="009423A3"/>
    <w:rsid w:val="00954410"/>
    <w:rsid w:val="00954760"/>
    <w:rsid w:val="00976EDA"/>
    <w:rsid w:val="009A51D7"/>
    <w:rsid w:val="009D1A71"/>
    <w:rsid w:val="009D2BD4"/>
    <w:rsid w:val="00A00BDA"/>
    <w:rsid w:val="00A146F2"/>
    <w:rsid w:val="00A16643"/>
    <w:rsid w:val="00A20823"/>
    <w:rsid w:val="00A20F89"/>
    <w:rsid w:val="00A26C6A"/>
    <w:rsid w:val="00A35A1E"/>
    <w:rsid w:val="00A43581"/>
    <w:rsid w:val="00A47078"/>
    <w:rsid w:val="00A55DED"/>
    <w:rsid w:val="00A605E3"/>
    <w:rsid w:val="00A84732"/>
    <w:rsid w:val="00A90BA4"/>
    <w:rsid w:val="00AA5AEC"/>
    <w:rsid w:val="00AD5325"/>
    <w:rsid w:val="00AE02A2"/>
    <w:rsid w:val="00AF3529"/>
    <w:rsid w:val="00B23BF0"/>
    <w:rsid w:val="00B5252E"/>
    <w:rsid w:val="00B86B07"/>
    <w:rsid w:val="00BA2AAA"/>
    <w:rsid w:val="00BA5A80"/>
    <w:rsid w:val="00BB0328"/>
    <w:rsid w:val="00BF7710"/>
    <w:rsid w:val="00C23F1C"/>
    <w:rsid w:val="00C82205"/>
    <w:rsid w:val="00CB198B"/>
    <w:rsid w:val="00CC06FA"/>
    <w:rsid w:val="00CF1F0C"/>
    <w:rsid w:val="00D34C31"/>
    <w:rsid w:val="00D36676"/>
    <w:rsid w:val="00D434BF"/>
    <w:rsid w:val="00D46198"/>
    <w:rsid w:val="00D52413"/>
    <w:rsid w:val="00D57102"/>
    <w:rsid w:val="00D71ED2"/>
    <w:rsid w:val="00D819A1"/>
    <w:rsid w:val="00D83233"/>
    <w:rsid w:val="00D92507"/>
    <w:rsid w:val="00DB70E3"/>
    <w:rsid w:val="00DC1AF3"/>
    <w:rsid w:val="00DD0B5F"/>
    <w:rsid w:val="00DD25F0"/>
    <w:rsid w:val="00DD3C03"/>
    <w:rsid w:val="00DF2827"/>
    <w:rsid w:val="00E01453"/>
    <w:rsid w:val="00E11049"/>
    <w:rsid w:val="00E14B08"/>
    <w:rsid w:val="00E30D62"/>
    <w:rsid w:val="00E457B8"/>
    <w:rsid w:val="00E56227"/>
    <w:rsid w:val="00E566C7"/>
    <w:rsid w:val="00E62594"/>
    <w:rsid w:val="00EB469D"/>
    <w:rsid w:val="00EC48F4"/>
    <w:rsid w:val="00EF6639"/>
    <w:rsid w:val="00F03521"/>
    <w:rsid w:val="00F34C7C"/>
    <w:rsid w:val="00F37E5A"/>
    <w:rsid w:val="00F55D99"/>
    <w:rsid w:val="00F57FCD"/>
    <w:rsid w:val="00F717A6"/>
    <w:rsid w:val="00F754E5"/>
    <w:rsid w:val="00F95F35"/>
    <w:rsid w:val="00FA6616"/>
    <w:rsid w:val="00FC1342"/>
    <w:rsid w:val="00FC69B5"/>
    <w:rsid w:val="00FD3CB1"/>
    <w:rsid w:val="00FE3D6E"/>
    <w:rsid w:val="00FF4896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985D214"/>
  <w15:chartTrackingRefBased/>
  <w15:docId w15:val="{43030816-6686-447B-86B2-A5C52940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unhideWhenUsed/>
    <w:rsid w:val="001126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1126AD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aliases w:val="Style 49,sobrescrito,fr,Syle 49,Style 18,o,Style 5,EY Footnote Reference,Footnote EY Interstate,Footnote Arial 8 single space,Footnote Reference new,Comment Subject Char1,Body Text Indent 2 Char1,Footnote Referece,Footnote ReferenceW"/>
    <w:uiPriority w:val="99"/>
    <w:unhideWhenUsed/>
    <w:qFormat/>
    <w:rsid w:val="001126AD"/>
    <w:rPr>
      <w:rFonts w:ascii="Times New Roman" w:hAnsi="Times New Roman" w:cs="Times New Roman" w:hint="default"/>
      <w:vertAlign w:val="superscript"/>
    </w:rPr>
  </w:style>
  <w:style w:type="paragraph" w:styleId="Prrafodelista">
    <w:name w:val="List Paragraph"/>
    <w:basedOn w:val="Normal"/>
    <w:uiPriority w:val="1"/>
    <w:qFormat/>
    <w:rsid w:val="00BB03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00B"/>
  </w:style>
  <w:style w:type="paragraph" w:styleId="Piedepgina">
    <w:name w:val="footer"/>
    <w:basedOn w:val="Normal"/>
    <w:link w:val="PiedepginaCar"/>
    <w:uiPriority w:val="99"/>
    <w:unhideWhenUsed/>
    <w:rsid w:val="0053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00B"/>
  </w:style>
  <w:style w:type="character" w:styleId="Hipervnculo">
    <w:name w:val="Hyperlink"/>
    <w:basedOn w:val="Fuentedeprrafopredeter"/>
    <w:uiPriority w:val="99"/>
    <w:unhideWhenUsed/>
    <w:rsid w:val="0053300B"/>
    <w:rPr>
      <w:color w:val="0563C1" w:themeColor="hyperlink"/>
      <w:u w:val="single"/>
    </w:rPr>
  </w:style>
  <w:style w:type="character" w:styleId="nfasis">
    <w:name w:val="Emphasis"/>
    <w:qFormat/>
    <w:rsid w:val="0053300B"/>
    <w:rPr>
      <w:rFonts w:ascii="Cambria" w:hAnsi="Cambria"/>
      <w:b/>
      <w:i w:val="0"/>
      <w:iCs/>
      <w:sz w:val="24"/>
    </w:rPr>
  </w:style>
  <w:style w:type="paragraph" w:styleId="Ttulo">
    <w:name w:val="Title"/>
    <w:basedOn w:val="Normal"/>
    <w:next w:val="Normal"/>
    <w:link w:val="TtuloCar"/>
    <w:qFormat/>
    <w:rsid w:val="0053300B"/>
    <w:pPr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28"/>
      <w:szCs w:val="32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53300B"/>
    <w:rPr>
      <w:rFonts w:ascii="Calibri" w:eastAsia="Times New Roman" w:hAnsi="Calibri" w:cs="Times New Roman"/>
      <w:b/>
      <w:bCs/>
      <w:kern w:val="28"/>
      <w:szCs w:val="32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513093"/>
    <w:pPr>
      <w:spacing w:after="120" w:line="240" w:lineRule="auto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3093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6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34C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F34C7C"/>
    <w:rPr>
      <w:color w:val="808080"/>
      <w:shd w:val="clear" w:color="auto" w:fill="E6E6E6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423A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42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477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1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33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467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470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404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1074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80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3860">
          <w:marLeft w:val="105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02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36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428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7923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724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405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332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87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19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abogados.c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CF8A5-1254-4821-B983-C9D604BF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286</Words>
  <Characters>1486</Characters>
  <Application>Microsoft Office Word</Application>
  <DocSecurity>0</DocSecurity>
  <Lines>34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Cristián Mena</dc:creator>
  <cp:keywords/>
  <dc:description/>
  <cp:lastModifiedBy>Eliana Ferretto</cp:lastModifiedBy>
  <cp:revision>4</cp:revision>
  <dcterms:created xsi:type="dcterms:W3CDTF">2022-10-12T16:27:00Z</dcterms:created>
  <dcterms:modified xsi:type="dcterms:W3CDTF">2022-10-12T21:44:00Z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#264517v1&lt;im_ma&gt; - Newsletter_ modificaciones Reforma Tributaria 2022 al artícul...docx</vt:lpwstr>
  </property>
</Properties>
</file>