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46B6E" w14:textId="77777777" w:rsidR="00A84732" w:rsidRPr="00715F2B" w:rsidRDefault="00A84732" w:rsidP="00A47078">
      <w:pPr>
        <w:pBdr>
          <w:bottom w:val="single" w:sz="12" w:space="1" w:color="auto"/>
        </w:pBdr>
        <w:spacing w:line="276" w:lineRule="auto"/>
        <w:rPr>
          <w:rFonts w:ascii="Times New Roman" w:hAnsi="Times New Roman" w:cs="Times New Roman"/>
          <w:b/>
          <w:smallCaps/>
          <w:sz w:val="24"/>
          <w:szCs w:val="24"/>
          <w:lang w:val="es-ES"/>
        </w:rPr>
      </w:pPr>
    </w:p>
    <w:p w14:paraId="65FA4848" w14:textId="77777777" w:rsidR="00003658" w:rsidRPr="00715F2B" w:rsidRDefault="00003658" w:rsidP="00003658">
      <w:pPr>
        <w:jc w:val="both"/>
        <w:rPr>
          <w:rFonts w:ascii="Times New Roman" w:hAnsi="Times New Roman" w:cs="Times New Roman"/>
          <w:b/>
          <w:sz w:val="24"/>
          <w:szCs w:val="24"/>
        </w:rPr>
      </w:pPr>
    </w:p>
    <w:p w14:paraId="62559FC6" w14:textId="42E0E050" w:rsidR="0088571C" w:rsidRPr="00715F2B" w:rsidRDefault="00796CCB" w:rsidP="00077830">
      <w:pPr>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MODIFICACIONES DEL PROYECTO DE REFORMA TRIBUTARIA A LA LEY 16.271 SOBRE IMPUESTO A LAS HERENCIAS, ASIGNACIONES Y DONACIONES</w:t>
      </w:r>
    </w:p>
    <w:p w14:paraId="05B9E668" w14:textId="77777777" w:rsidR="008943A7" w:rsidRPr="00715F2B" w:rsidRDefault="008943A7" w:rsidP="00003658">
      <w:pPr>
        <w:pBdr>
          <w:bottom w:val="single" w:sz="12" w:space="1" w:color="auto"/>
        </w:pBdr>
        <w:jc w:val="both"/>
        <w:rPr>
          <w:rFonts w:ascii="Times New Roman" w:hAnsi="Times New Roman" w:cs="Times New Roman"/>
          <w:b/>
          <w:i/>
          <w:sz w:val="24"/>
          <w:szCs w:val="24"/>
        </w:rPr>
      </w:pPr>
    </w:p>
    <w:p w14:paraId="391E3698" w14:textId="2C598A7E" w:rsidR="00876B13" w:rsidRDefault="00876B13" w:rsidP="008943A7">
      <w:pPr>
        <w:jc w:val="both"/>
        <w:rPr>
          <w:rFonts w:ascii="Times New Roman" w:hAnsi="Times New Roman" w:cs="Times New Roman"/>
          <w:b/>
          <w:sz w:val="24"/>
          <w:szCs w:val="24"/>
        </w:rPr>
      </w:pPr>
    </w:p>
    <w:p w14:paraId="06D91E27" w14:textId="4A77E2D2" w:rsidR="009423A3" w:rsidRPr="00A47078" w:rsidRDefault="00796CCB" w:rsidP="00DF2827">
      <w:pPr>
        <w:spacing w:after="0" w:line="240" w:lineRule="auto"/>
        <w:jc w:val="both"/>
        <w:rPr>
          <w:rFonts w:ascii="Times New Roman" w:hAnsi="Times New Roman" w:cs="Times New Roman"/>
          <w:bCs/>
          <w:sz w:val="24"/>
          <w:szCs w:val="24"/>
        </w:rPr>
      </w:pPr>
      <w:r w:rsidRPr="00DF2827">
        <w:rPr>
          <w:rFonts w:ascii="Times New Roman" w:hAnsi="Times New Roman" w:cs="Times New Roman"/>
          <w:bCs/>
          <w:sz w:val="24"/>
          <w:szCs w:val="24"/>
        </w:rPr>
        <w:t xml:space="preserve">Dentro de las medidas contempladas </w:t>
      </w:r>
      <w:r w:rsidR="009423A3" w:rsidRPr="00DF2827">
        <w:rPr>
          <w:rFonts w:ascii="Times New Roman" w:hAnsi="Times New Roman" w:cs="Times New Roman"/>
          <w:bCs/>
          <w:sz w:val="24"/>
          <w:szCs w:val="24"/>
        </w:rPr>
        <w:t xml:space="preserve">en </w:t>
      </w:r>
      <w:r w:rsidR="00A47078">
        <w:rPr>
          <w:rFonts w:ascii="Times New Roman" w:hAnsi="Times New Roman" w:cs="Times New Roman"/>
          <w:bCs/>
          <w:sz w:val="24"/>
          <w:szCs w:val="24"/>
        </w:rPr>
        <w:t xml:space="preserve">el Proyecto de Ley de Reforma Tributaria hacia un Pacto Fiscal por el Desarrollo y la Justicia, </w:t>
      </w:r>
      <w:r w:rsidR="009423A3" w:rsidRPr="00DF2827">
        <w:rPr>
          <w:rFonts w:ascii="Times New Roman" w:hAnsi="Times New Roman" w:cs="Times New Roman"/>
          <w:bCs/>
          <w:sz w:val="24"/>
          <w:szCs w:val="24"/>
        </w:rPr>
        <w:t>presentad</w:t>
      </w:r>
      <w:r w:rsidR="00A47078">
        <w:rPr>
          <w:rFonts w:ascii="Times New Roman" w:hAnsi="Times New Roman" w:cs="Times New Roman"/>
          <w:bCs/>
          <w:sz w:val="24"/>
          <w:szCs w:val="24"/>
        </w:rPr>
        <w:t>o</w:t>
      </w:r>
      <w:r w:rsidR="009423A3" w:rsidRPr="00DF2827">
        <w:rPr>
          <w:rFonts w:ascii="Times New Roman" w:hAnsi="Times New Roman" w:cs="Times New Roman"/>
          <w:bCs/>
          <w:sz w:val="24"/>
          <w:szCs w:val="24"/>
        </w:rPr>
        <w:t xml:space="preserve"> con fecha</w:t>
      </w:r>
      <w:r w:rsidR="00A47078">
        <w:rPr>
          <w:rFonts w:ascii="Times New Roman" w:hAnsi="Times New Roman" w:cs="Times New Roman"/>
          <w:bCs/>
          <w:sz w:val="24"/>
          <w:szCs w:val="24"/>
        </w:rPr>
        <w:t xml:space="preserve"> 7 de julio de 2022</w:t>
      </w:r>
      <w:r w:rsidR="009423A3" w:rsidRPr="00DF2827">
        <w:rPr>
          <w:rFonts w:ascii="Times New Roman" w:hAnsi="Times New Roman" w:cs="Times New Roman"/>
          <w:bCs/>
          <w:sz w:val="24"/>
          <w:szCs w:val="24"/>
        </w:rPr>
        <w:t xml:space="preserve">, se contemplan una serie de </w:t>
      </w:r>
      <w:r w:rsidR="00DF2827" w:rsidRPr="00DF2827">
        <w:rPr>
          <w:rFonts w:ascii="Times New Roman" w:hAnsi="Times New Roman" w:cs="Times New Roman"/>
          <w:bCs/>
          <w:sz w:val="24"/>
          <w:szCs w:val="24"/>
        </w:rPr>
        <w:t>cambios</w:t>
      </w:r>
      <w:r w:rsidR="009423A3" w:rsidRPr="00DF2827">
        <w:rPr>
          <w:rFonts w:ascii="Times New Roman" w:hAnsi="Times New Roman" w:cs="Times New Roman"/>
          <w:bCs/>
          <w:sz w:val="24"/>
          <w:szCs w:val="24"/>
        </w:rPr>
        <w:t xml:space="preserve"> a la ley 16.271 sobre Impuesto a las Herencias, Asignaciones y Donaciones</w:t>
      </w:r>
      <w:r w:rsidR="00DF2827">
        <w:rPr>
          <w:rFonts w:ascii="Times New Roman" w:hAnsi="Times New Roman" w:cs="Times New Roman"/>
          <w:bCs/>
          <w:sz w:val="24"/>
          <w:szCs w:val="24"/>
        </w:rPr>
        <w:t xml:space="preserve"> (en adelante, “</w:t>
      </w:r>
      <w:r w:rsidR="00DF2827" w:rsidRPr="00DF2827">
        <w:rPr>
          <w:rFonts w:ascii="Times New Roman" w:hAnsi="Times New Roman" w:cs="Times New Roman"/>
          <w:bCs/>
          <w:sz w:val="24"/>
          <w:szCs w:val="24"/>
          <w:u w:val="single"/>
        </w:rPr>
        <w:t>LIHAD</w:t>
      </w:r>
      <w:r w:rsidR="00DF2827">
        <w:rPr>
          <w:rFonts w:ascii="Times New Roman" w:hAnsi="Times New Roman" w:cs="Times New Roman"/>
          <w:bCs/>
          <w:sz w:val="24"/>
          <w:szCs w:val="24"/>
        </w:rPr>
        <w:t>”)</w:t>
      </w:r>
      <w:r w:rsidR="00DF2827" w:rsidRPr="00DF2827">
        <w:rPr>
          <w:rFonts w:ascii="Times New Roman" w:hAnsi="Times New Roman" w:cs="Times New Roman"/>
          <w:bCs/>
          <w:sz w:val="24"/>
          <w:szCs w:val="24"/>
        </w:rPr>
        <w:t xml:space="preserve">, orientadas principalmente a modificación de las </w:t>
      </w:r>
      <w:r w:rsidR="009423A3" w:rsidRPr="00DF2827">
        <w:rPr>
          <w:rFonts w:ascii="Times New Roman" w:eastAsia="Courier New" w:hAnsi="Times New Roman" w:cs="Times New Roman"/>
          <w:color w:val="000000" w:themeColor="text1"/>
          <w:sz w:val="24"/>
          <w:szCs w:val="24"/>
        </w:rPr>
        <w:t>normas de valoración de los bienes que componen la herencia, en línea con las reglas aplicables a otros impuestos, y se refuerza la regulación para evitar operaciones potencialmente elusivas.</w:t>
      </w:r>
    </w:p>
    <w:p w14:paraId="596BB1CC" w14:textId="1390D008" w:rsidR="00DF2827" w:rsidRDefault="00DF2827" w:rsidP="00DF2827">
      <w:pPr>
        <w:spacing w:after="0" w:line="240" w:lineRule="auto"/>
        <w:jc w:val="both"/>
        <w:rPr>
          <w:rFonts w:ascii="Times New Roman" w:eastAsia="Courier New" w:hAnsi="Times New Roman" w:cs="Times New Roman"/>
          <w:color w:val="000000" w:themeColor="text1"/>
          <w:sz w:val="24"/>
          <w:szCs w:val="24"/>
        </w:rPr>
      </w:pPr>
    </w:p>
    <w:p w14:paraId="157D30CE" w14:textId="1A2380BF" w:rsidR="00DF2827" w:rsidRDefault="00DF2827" w:rsidP="00DF2827">
      <w:pPr>
        <w:spacing w:after="0" w:line="240" w:lineRule="auto"/>
        <w:jc w:val="both"/>
        <w:rPr>
          <w:rFonts w:ascii="Times New Roman" w:eastAsia="Courier New" w:hAnsi="Times New Roman" w:cs="Times New Roman"/>
          <w:color w:val="000000" w:themeColor="text1"/>
          <w:sz w:val="24"/>
          <w:szCs w:val="24"/>
        </w:rPr>
      </w:pPr>
      <w:r>
        <w:rPr>
          <w:rFonts w:ascii="Times New Roman" w:eastAsia="Courier New" w:hAnsi="Times New Roman" w:cs="Times New Roman"/>
          <w:color w:val="000000" w:themeColor="text1"/>
          <w:sz w:val="24"/>
          <w:szCs w:val="24"/>
        </w:rPr>
        <w:t xml:space="preserve">Las principales modificaciones </w:t>
      </w:r>
      <w:r w:rsidR="00A47078">
        <w:rPr>
          <w:rFonts w:ascii="Times New Roman" w:eastAsia="Courier New" w:hAnsi="Times New Roman" w:cs="Times New Roman"/>
          <w:color w:val="000000" w:themeColor="text1"/>
          <w:sz w:val="24"/>
          <w:szCs w:val="24"/>
        </w:rPr>
        <w:t xml:space="preserve">contempladas </w:t>
      </w:r>
      <w:r>
        <w:rPr>
          <w:rFonts w:ascii="Times New Roman" w:eastAsia="Courier New" w:hAnsi="Times New Roman" w:cs="Times New Roman"/>
          <w:color w:val="000000" w:themeColor="text1"/>
          <w:sz w:val="24"/>
          <w:szCs w:val="24"/>
        </w:rPr>
        <w:t>en esta materia son las siguientes:</w:t>
      </w:r>
    </w:p>
    <w:p w14:paraId="48BBE8AC" w14:textId="6BD9FD00" w:rsidR="00DF2827" w:rsidRDefault="00DF2827" w:rsidP="00DF2827">
      <w:pPr>
        <w:spacing w:after="0" w:line="240" w:lineRule="auto"/>
        <w:jc w:val="both"/>
        <w:rPr>
          <w:rFonts w:ascii="Times New Roman" w:eastAsia="Courier New" w:hAnsi="Times New Roman" w:cs="Times New Roman"/>
          <w:color w:val="000000" w:themeColor="text1"/>
          <w:sz w:val="24"/>
          <w:szCs w:val="24"/>
        </w:rPr>
      </w:pPr>
    </w:p>
    <w:p w14:paraId="24CBE622" w14:textId="5DD4D557" w:rsidR="00DF2827" w:rsidRDefault="00DF2827" w:rsidP="00A47078">
      <w:pPr>
        <w:pStyle w:val="Prrafodelista"/>
        <w:numPr>
          <w:ilvl w:val="0"/>
          <w:numId w:val="1"/>
        </w:numPr>
        <w:spacing w:after="0" w:line="240" w:lineRule="auto"/>
        <w:jc w:val="both"/>
        <w:rPr>
          <w:rFonts w:ascii="Times New Roman" w:eastAsia="Courier New" w:hAnsi="Times New Roman" w:cs="Times New Roman"/>
          <w:color w:val="000000" w:themeColor="text1"/>
          <w:sz w:val="24"/>
          <w:szCs w:val="24"/>
        </w:rPr>
      </w:pPr>
      <w:r>
        <w:rPr>
          <w:rFonts w:ascii="Times New Roman" w:eastAsia="Courier New" w:hAnsi="Times New Roman" w:cs="Times New Roman"/>
          <w:color w:val="000000" w:themeColor="text1"/>
          <w:sz w:val="24"/>
          <w:szCs w:val="24"/>
        </w:rPr>
        <w:t>Se entenderá por donación, para los efectos de la LIHAD, tanto las donaciones revocables (art. 11</w:t>
      </w:r>
      <w:r w:rsidR="00306D84">
        <w:rPr>
          <w:rFonts w:ascii="Times New Roman" w:eastAsia="Courier New" w:hAnsi="Times New Roman" w:cs="Times New Roman"/>
          <w:color w:val="000000" w:themeColor="text1"/>
          <w:sz w:val="24"/>
          <w:szCs w:val="24"/>
        </w:rPr>
        <w:t>3</w:t>
      </w:r>
      <w:r>
        <w:rPr>
          <w:rFonts w:ascii="Times New Roman" w:eastAsia="Courier New" w:hAnsi="Times New Roman" w:cs="Times New Roman"/>
          <w:color w:val="000000" w:themeColor="text1"/>
          <w:sz w:val="24"/>
          <w:szCs w:val="24"/>
        </w:rPr>
        <w:t>6 del Código Civil) como las donaciones irrevocables (art. 1386 del Código Civil).</w:t>
      </w:r>
    </w:p>
    <w:p w14:paraId="749984BB" w14:textId="77777777" w:rsidR="00A16643" w:rsidRDefault="00A16643" w:rsidP="00A16643">
      <w:pPr>
        <w:pStyle w:val="Prrafodelista"/>
        <w:spacing w:after="0" w:line="240" w:lineRule="auto"/>
        <w:ind w:left="360"/>
        <w:jc w:val="both"/>
        <w:rPr>
          <w:rFonts w:ascii="Times New Roman" w:eastAsia="Courier New" w:hAnsi="Times New Roman" w:cs="Times New Roman"/>
          <w:color w:val="000000" w:themeColor="text1"/>
          <w:sz w:val="24"/>
          <w:szCs w:val="24"/>
        </w:rPr>
      </w:pPr>
    </w:p>
    <w:p w14:paraId="08684AE9" w14:textId="6B5AA9B3" w:rsidR="00A16643" w:rsidRDefault="00A16643" w:rsidP="00A47078">
      <w:pPr>
        <w:pStyle w:val="Prrafodelista"/>
        <w:numPr>
          <w:ilvl w:val="0"/>
          <w:numId w:val="1"/>
        </w:numPr>
        <w:spacing w:after="0" w:line="240" w:lineRule="auto"/>
        <w:jc w:val="both"/>
        <w:rPr>
          <w:rFonts w:ascii="Times New Roman" w:eastAsia="Courier New" w:hAnsi="Times New Roman" w:cs="Times New Roman"/>
          <w:color w:val="000000" w:themeColor="text1"/>
          <w:sz w:val="24"/>
          <w:szCs w:val="24"/>
        </w:rPr>
      </w:pPr>
      <w:r>
        <w:rPr>
          <w:rFonts w:ascii="Times New Roman" w:eastAsia="Courier New" w:hAnsi="Times New Roman" w:cs="Times New Roman"/>
          <w:color w:val="000000" w:themeColor="text1"/>
          <w:sz w:val="24"/>
          <w:szCs w:val="24"/>
        </w:rPr>
        <w:t xml:space="preserve">Se elimina el numeral 8° del artículo </w:t>
      </w:r>
      <w:r w:rsidR="004537BC">
        <w:rPr>
          <w:rFonts w:ascii="Times New Roman" w:eastAsia="Courier New" w:hAnsi="Times New Roman" w:cs="Times New Roman"/>
          <w:color w:val="000000" w:themeColor="text1"/>
          <w:sz w:val="24"/>
          <w:szCs w:val="24"/>
        </w:rPr>
        <w:t>1</w:t>
      </w:r>
      <w:r>
        <w:rPr>
          <w:rFonts w:ascii="Times New Roman" w:eastAsia="Courier New" w:hAnsi="Times New Roman" w:cs="Times New Roman"/>
          <w:color w:val="000000" w:themeColor="text1"/>
          <w:sz w:val="24"/>
          <w:szCs w:val="24"/>
        </w:rPr>
        <w:t>8, que establecía una exención de impuestos a las donaciones que reali</w:t>
      </w:r>
      <w:r w:rsidR="00E30D62">
        <w:rPr>
          <w:rFonts w:ascii="Times New Roman" w:eastAsia="Courier New" w:hAnsi="Times New Roman" w:cs="Times New Roman"/>
          <w:color w:val="000000" w:themeColor="text1"/>
          <w:sz w:val="24"/>
          <w:szCs w:val="24"/>
        </w:rPr>
        <w:t>cen</w:t>
      </w:r>
      <w:r>
        <w:rPr>
          <w:rFonts w:ascii="Times New Roman" w:eastAsia="Courier New" w:hAnsi="Times New Roman" w:cs="Times New Roman"/>
          <w:color w:val="000000" w:themeColor="text1"/>
          <w:sz w:val="24"/>
          <w:szCs w:val="24"/>
        </w:rPr>
        <w:t xml:space="preserve"> personas naturales con recursos que hayan cumplido su tributación conforme a la ley de impuesto a la herencia</w:t>
      </w:r>
      <w:r w:rsidR="006A03C5">
        <w:rPr>
          <w:rFonts w:ascii="Times New Roman" w:eastAsia="Courier New" w:hAnsi="Times New Roman" w:cs="Times New Roman"/>
          <w:color w:val="000000" w:themeColor="text1"/>
          <w:sz w:val="24"/>
          <w:szCs w:val="24"/>
        </w:rPr>
        <w:t xml:space="preserve">, hasta el </w:t>
      </w:r>
      <w:r w:rsidR="005E3D22">
        <w:rPr>
          <w:rFonts w:ascii="Times New Roman" w:eastAsia="Courier New" w:hAnsi="Times New Roman" w:cs="Times New Roman"/>
          <w:color w:val="000000" w:themeColor="text1"/>
          <w:sz w:val="24"/>
          <w:szCs w:val="24"/>
        </w:rPr>
        <w:t>tope de 250 UTM anuales.</w:t>
      </w:r>
    </w:p>
    <w:p w14:paraId="5A31F848" w14:textId="77777777" w:rsidR="005E3D22" w:rsidRPr="005E3D22" w:rsidRDefault="005E3D22" w:rsidP="005E3D22">
      <w:pPr>
        <w:pStyle w:val="Prrafodelista"/>
        <w:rPr>
          <w:rFonts w:ascii="Times New Roman" w:eastAsia="Courier New" w:hAnsi="Times New Roman" w:cs="Times New Roman"/>
          <w:color w:val="000000" w:themeColor="text1"/>
          <w:sz w:val="24"/>
          <w:szCs w:val="24"/>
        </w:rPr>
      </w:pPr>
    </w:p>
    <w:p w14:paraId="03B88E26" w14:textId="7CAEC94F" w:rsidR="005E3D22" w:rsidRDefault="005E3D22" w:rsidP="00A47078">
      <w:pPr>
        <w:pStyle w:val="Prrafodelista"/>
        <w:numPr>
          <w:ilvl w:val="0"/>
          <w:numId w:val="1"/>
        </w:numPr>
        <w:spacing w:after="0" w:line="240" w:lineRule="auto"/>
        <w:jc w:val="both"/>
        <w:rPr>
          <w:rFonts w:ascii="Times New Roman" w:eastAsia="Courier New" w:hAnsi="Times New Roman" w:cs="Times New Roman"/>
          <w:color w:val="000000" w:themeColor="text1"/>
          <w:sz w:val="24"/>
          <w:szCs w:val="24"/>
        </w:rPr>
      </w:pPr>
      <w:r>
        <w:rPr>
          <w:rFonts w:ascii="Times New Roman" w:eastAsia="Courier New" w:hAnsi="Times New Roman" w:cs="Times New Roman"/>
          <w:color w:val="000000" w:themeColor="text1"/>
          <w:sz w:val="24"/>
          <w:szCs w:val="24"/>
        </w:rPr>
        <w:t xml:space="preserve">Se sustituye íntegramente el artículo 46 de la LIHAD, estableciendo un </w:t>
      </w:r>
      <w:r w:rsidRPr="00DC1AF3">
        <w:rPr>
          <w:rFonts w:ascii="Times New Roman" w:eastAsia="Courier New" w:hAnsi="Times New Roman" w:cs="Times New Roman"/>
          <w:b/>
          <w:bCs/>
          <w:color w:val="000000" w:themeColor="text1"/>
          <w:sz w:val="24"/>
          <w:szCs w:val="24"/>
        </w:rPr>
        <w:t>nuevo régimen</w:t>
      </w:r>
      <w:r w:rsidR="00DC1AF3" w:rsidRPr="00DC1AF3">
        <w:rPr>
          <w:rFonts w:ascii="Times New Roman" w:eastAsia="Courier New" w:hAnsi="Times New Roman" w:cs="Times New Roman"/>
          <w:b/>
          <w:bCs/>
          <w:color w:val="000000" w:themeColor="text1"/>
          <w:sz w:val="24"/>
          <w:szCs w:val="24"/>
        </w:rPr>
        <w:t xml:space="preserve"> de valoración de los bienes</w:t>
      </w:r>
      <w:r w:rsidR="00DC1AF3">
        <w:rPr>
          <w:rFonts w:ascii="Times New Roman" w:eastAsia="Courier New" w:hAnsi="Times New Roman" w:cs="Times New Roman"/>
          <w:color w:val="000000" w:themeColor="text1"/>
          <w:sz w:val="24"/>
          <w:szCs w:val="24"/>
        </w:rPr>
        <w:t xml:space="preserve"> que conformarán la herencia o que se donarán. El principio general es que estos deberán valorizarse conforme a su </w:t>
      </w:r>
      <w:r w:rsidR="00DC1AF3" w:rsidRPr="00DC1AF3">
        <w:rPr>
          <w:rFonts w:ascii="Times New Roman" w:eastAsia="Courier New" w:hAnsi="Times New Roman" w:cs="Times New Roman"/>
          <w:color w:val="000000" w:themeColor="text1"/>
          <w:sz w:val="24"/>
          <w:szCs w:val="24"/>
          <w:u w:val="single"/>
        </w:rPr>
        <w:t>valor económico</w:t>
      </w:r>
      <w:r w:rsidR="00DC1AF3">
        <w:rPr>
          <w:rFonts w:ascii="Times New Roman" w:eastAsia="Courier New" w:hAnsi="Times New Roman" w:cs="Times New Roman"/>
          <w:color w:val="000000" w:themeColor="text1"/>
          <w:sz w:val="24"/>
          <w:szCs w:val="24"/>
        </w:rPr>
        <w:t xml:space="preserve">, entendiéndose este como el que se habría acordado u obtenido por partes relacionadas considerando las </w:t>
      </w:r>
      <w:r w:rsidR="00306D84">
        <w:rPr>
          <w:rFonts w:ascii="Times New Roman" w:eastAsia="Courier New" w:hAnsi="Times New Roman" w:cs="Times New Roman"/>
          <w:color w:val="000000" w:themeColor="text1"/>
          <w:sz w:val="24"/>
          <w:szCs w:val="24"/>
        </w:rPr>
        <w:t xml:space="preserve">operaciones o </w:t>
      </w:r>
      <w:r w:rsidR="00DC1AF3">
        <w:rPr>
          <w:rFonts w:ascii="Times New Roman" w:eastAsia="Courier New" w:hAnsi="Times New Roman" w:cs="Times New Roman"/>
          <w:color w:val="000000" w:themeColor="text1"/>
          <w:sz w:val="24"/>
          <w:szCs w:val="24"/>
        </w:rPr>
        <w:t xml:space="preserve">circunstancias </w:t>
      </w:r>
      <w:r w:rsidR="00306D84">
        <w:rPr>
          <w:rFonts w:ascii="Times New Roman" w:eastAsia="Courier New" w:hAnsi="Times New Roman" w:cs="Times New Roman"/>
          <w:color w:val="000000" w:themeColor="text1"/>
          <w:sz w:val="24"/>
          <w:szCs w:val="24"/>
        </w:rPr>
        <w:t xml:space="preserve">razonablemente </w:t>
      </w:r>
      <w:r w:rsidR="00DC1AF3">
        <w:rPr>
          <w:rFonts w:ascii="Times New Roman" w:eastAsia="Courier New" w:hAnsi="Times New Roman" w:cs="Times New Roman"/>
          <w:color w:val="000000" w:themeColor="text1"/>
          <w:sz w:val="24"/>
          <w:szCs w:val="24"/>
        </w:rPr>
        <w:t xml:space="preserve">relevantes </w:t>
      </w:r>
      <w:r w:rsidR="00306D84">
        <w:rPr>
          <w:rFonts w:ascii="Times New Roman" w:eastAsia="Courier New" w:hAnsi="Times New Roman" w:cs="Times New Roman"/>
          <w:color w:val="000000" w:themeColor="text1"/>
          <w:sz w:val="24"/>
          <w:szCs w:val="24"/>
        </w:rPr>
        <w:t>dependiendo del caso que se analice.</w:t>
      </w:r>
    </w:p>
    <w:p w14:paraId="070A9C28" w14:textId="77777777" w:rsidR="00306D84" w:rsidRPr="00306D84" w:rsidRDefault="00306D84" w:rsidP="00306D84">
      <w:pPr>
        <w:pStyle w:val="Prrafodelista"/>
        <w:rPr>
          <w:rFonts w:ascii="Times New Roman" w:eastAsia="Courier New" w:hAnsi="Times New Roman" w:cs="Times New Roman"/>
          <w:color w:val="000000" w:themeColor="text1"/>
          <w:sz w:val="24"/>
          <w:szCs w:val="24"/>
        </w:rPr>
      </w:pPr>
    </w:p>
    <w:p w14:paraId="586DCAD1" w14:textId="7CBED871" w:rsidR="00306D84" w:rsidRDefault="00306D84" w:rsidP="00306D84">
      <w:pPr>
        <w:pStyle w:val="Prrafodelista"/>
        <w:spacing w:after="0" w:line="240" w:lineRule="auto"/>
        <w:ind w:left="360"/>
        <w:jc w:val="both"/>
        <w:rPr>
          <w:rFonts w:ascii="Times New Roman" w:eastAsia="Courier New" w:hAnsi="Times New Roman" w:cs="Times New Roman"/>
          <w:color w:val="000000" w:themeColor="text1"/>
          <w:sz w:val="24"/>
          <w:szCs w:val="24"/>
        </w:rPr>
      </w:pPr>
      <w:r>
        <w:rPr>
          <w:rFonts w:ascii="Times New Roman" w:eastAsia="Courier New" w:hAnsi="Times New Roman" w:cs="Times New Roman"/>
          <w:color w:val="000000" w:themeColor="text1"/>
          <w:sz w:val="24"/>
          <w:szCs w:val="24"/>
        </w:rPr>
        <w:t xml:space="preserve">La nueva norma establece además que los activos y pasivos deberán valorarse </w:t>
      </w:r>
      <w:proofErr w:type="gramStart"/>
      <w:r>
        <w:rPr>
          <w:rFonts w:ascii="Times New Roman" w:eastAsia="Courier New" w:hAnsi="Times New Roman" w:cs="Times New Roman"/>
          <w:color w:val="000000" w:themeColor="text1"/>
          <w:sz w:val="24"/>
          <w:szCs w:val="24"/>
        </w:rPr>
        <w:t>de acuerdo al</w:t>
      </w:r>
      <w:proofErr w:type="gramEnd"/>
      <w:r>
        <w:rPr>
          <w:rFonts w:ascii="Times New Roman" w:eastAsia="Courier New" w:hAnsi="Times New Roman" w:cs="Times New Roman"/>
          <w:color w:val="000000" w:themeColor="text1"/>
          <w:sz w:val="24"/>
          <w:szCs w:val="24"/>
        </w:rPr>
        <w:t xml:space="preserve"> método más adecuado para reflejar fehacientemente su valor económico, siguiendo las reglas establecidas en la misma, siendo las más relevantes las siguientes:</w:t>
      </w:r>
    </w:p>
    <w:p w14:paraId="408264DB" w14:textId="6563FE7F" w:rsidR="00306D84" w:rsidRDefault="00306D84" w:rsidP="00306D84">
      <w:pPr>
        <w:pStyle w:val="Prrafodelista"/>
        <w:spacing w:after="0" w:line="240" w:lineRule="auto"/>
        <w:ind w:left="360"/>
        <w:jc w:val="both"/>
        <w:rPr>
          <w:rFonts w:ascii="Times New Roman" w:eastAsia="Courier New" w:hAnsi="Times New Roman" w:cs="Times New Roman"/>
          <w:color w:val="000000" w:themeColor="text1"/>
          <w:sz w:val="24"/>
          <w:szCs w:val="24"/>
        </w:rPr>
      </w:pPr>
    </w:p>
    <w:p w14:paraId="25B0815A" w14:textId="4669E3A0" w:rsidR="00DC1AF3" w:rsidRDefault="00306D84" w:rsidP="00A47078">
      <w:pPr>
        <w:pStyle w:val="Prrafodelista"/>
        <w:numPr>
          <w:ilvl w:val="0"/>
          <w:numId w:val="2"/>
        </w:numPr>
        <w:spacing w:after="0" w:line="240" w:lineRule="auto"/>
        <w:jc w:val="both"/>
        <w:rPr>
          <w:rFonts w:ascii="Times New Roman" w:eastAsia="Courier New" w:hAnsi="Times New Roman" w:cs="Times New Roman"/>
          <w:color w:val="000000" w:themeColor="text1"/>
          <w:sz w:val="24"/>
          <w:szCs w:val="24"/>
        </w:rPr>
      </w:pPr>
      <w:r w:rsidRPr="006D73D7">
        <w:rPr>
          <w:rFonts w:ascii="Times New Roman" w:eastAsia="Courier New" w:hAnsi="Times New Roman" w:cs="Times New Roman"/>
          <w:color w:val="000000" w:themeColor="text1"/>
          <w:sz w:val="24"/>
          <w:szCs w:val="24"/>
          <w:u w:val="single"/>
        </w:rPr>
        <w:t>Acciones, cuotas o derechos en empresas o entidades constituidas en Chile</w:t>
      </w:r>
      <w:r w:rsidR="006D73D7" w:rsidRPr="006D73D7">
        <w:rPr>
          <w:rFonts w:ascii="Times New Roman" w:eastAsia="Courier New" w:hAnsi="Times New Roman" w:cs="Times New Roman"/>
          <w:color w:val="000000" w:themeColor="text1"/>
          <w:sz w:val="24"/>
          <w:szCs w:val="24"/>
          <w:u w:val="single"/>
        </w:rPr>
        <w:t xml:space="preserve"> sin presencia bursátil y con estados financieros auditados</w:t>
      </w:r>
      <w:r w:rsidR="006D73D7" w:rsidRPr="006D73D7">
        <w:rPr>
          <w:rFonts w:ascii="Times New Roman" w:eastAsia="Courier New" w:hAnsi="Times New Roman" w:cs="Times New Roman"/>
          <w:color w:val="000000" w:themeColor="text1"/>
          <w:sz w:val="24"/>
          <w:szCs w:val="24"/>
        </w:rPr>
        <w:t>: su valor corresponderá a la cantidad mayor entre el valor de su capital propio tributario y el de su patrimonio financiero</w:t>
      </w:r>
      <w:r w:rsidR="004172A7">
        <w:rPr>
          <w:rFonts w:ascii="Times New Roman" w:eastAsia="Courier New" w:hAnsi="Times New Roman" w:cs="Times New Roman"/>
          <w:color w:val="000000" w:themeColor="text1"/>
          <w:sz w:val="24"/>
          <w:szCs w:val="24"/>
        </w:rPr>
        <w:t>, en la proporción que corresponda al porcentaje en propiedad de la herencia.</w:t>
      </w:r>
      <w:r w:rsidR="006D73D7">
        <w:rPr>
          <w:rFonts w:ascii="Times New Roman" w:eastAsia="Courier New" w:hAnsi="Times New Roman" w:cs="Times New Roman"/>
          <w:color w:val="000000" w:themeColor="text1"/>
          <w:sz w:val="24"/>
          <w:szCs w:val="24"/>
        </w:rPr>
        <w:t xml:space="preserve"> Si este valor no refleja </w:t>
      </w:r>
      <w:r w:rsidR="00A26C6A">
        <w:rPr>
          <w:rFonts w:ascii="Times New Roman" w:eastAsia="Courier New" w:hAnsi="Times New Roman" w:cs="Times New Roman"/>
          <w:color w:val="000000" w:themeColor="text1"/>
          <w:sz w:val="24"/>
          <w:szCs w:val="24"/>
        </w:rPr>
        <w:t>fehacientemente su valor económico, se deberán valorizar los activos subyacentes según corresponda.</w:t>
      </w:r>
    </w:p>
    <w:p w14:paraId="6C399719" w14:textId="597B2CBF" w:rsidR="00A26C6A" w:rsidRDefault="00A26C6A" w:rsidP="00A47078">
      <w:pPr>
        <w:pStyle w:val="Prrafodelista"/>
        <w:numPr>
          <w:ilvl w:val="0"/>
          <w:numId w:val="2"/>
        </w:numPr>
        <w:spacing w:after="0" w:line="240" w:lineRule="auto"/>
        <w:jc w:val="both"/>
        <w:rPr>
          <w:rFonts w:ascii="Times New Roman" w:eastAsia="Courier New" w:hAnsi="Times New Roman" w:cs="Times New Roman"/>
          <w:color w:val="000000" w:themeColor="text1"/>
          <w:sz w:val="24"/>
          <w:szCs w:val="24"/>
        </w:rPr>
      </w:pPr>
      <w:r w:rsidRPr="006D73D7">
        <w:rPr>
          <w:rFonts w:ascii="Times New Roman" w:eastAsia="Courier New" w:hAnsi="Times New Roman" w:cs="Times New Roman"/>
          <w:color w:val="000000" w:themeColor="text1"/>
          <w:sz w:val="24"/>
          <w:szCs w:val="24"/>
          <w:u w:val="single"/>
        </w:rPr>
        <w:lastRenderedPageBreak/>
        <w:t xml:space="preserve">Acciones, cuotas o derechos en empresas o entidades constituidas en Chile sin presencia bursátil y </w:t>
      </w:r>
      <w:r>
        <w:rPr>
          <w:rFonts w:ascii="Times New Roman" w:eastAsia="Courier New" w:hAnsi="Times New Roman" w:cs="Times New Roman"/>
          <w:color w:val="000000" w:themeColor="text1"/>
          <w:sz w:val="24"/>
          <w:szCs w:val="24"/>
          <w:u w:val="single"/>
        </w:rPr>
        <w:t>sin</w:t>
      </w:r>
      <w:r w:rsidRPr="006D73D7">
        <w:rPr>
          <w:rFonts w:ascii="Times New Roman" w:eastAsia="Courier New" w:hAnsi="Times New Roman" w:cs="Times New Roman"/>
          <w:color w:val="000000" w:themeColor="text1"/>
          <w:sz w:val="24"/>
          <w:szCs w:val="24"/>
          <w:u w:val="single"/>
        </w:rPr>
        <w:t xml:space="preserve"> estados financieros auditados</w:t>
      </w:r>
      <w:r>
        <w:rPr>
          <w:rFonts w:ascii="Times New Roman" w:eastAsia="Courier New" w:hAnsi="Times New Roman" w:cs="Times New Roman"/>
          <w:color w:val="000000" w:themeColor="text1"/>
          <w:sz w:val="24"/>
          <w:szCs w:val="24"/>
          <w:u w:val="single"/>
        </w:rPr>
        <w:t xml:space="preserve">, y en las demás normas que remitan a esta: </w:t>
      </w:r>
      <w:r>
        <w:rPr>
          <w:rFonts w:ascii="Times New Roman" w:eastAsia="Courier New" w:hAnsi="Times New Roman" w:cs="Times New Roman"/>
          <w:color w:val="000000" w:themeColor="text1"/>
          <w:sz w:val="24"/>
          <w:szCs w:val="24"/>
        </w:rPr>
        <w:t>se deberán valorizar los activos subyacentes de la empresa, según las siguientes reglas:</w:t>
      </w:r>
    </w:p>
    <w:p w14:paraId="65708482" w14:textId="26B8BA6C" w:rsidR="00A26C6A" w:rsidRDefault="00A26C6A" w:rsidP="00A26C6A">
      <w:pPr>
        <w:spacing w:after="0" w:line="240" w:lineRule="auto"/>
        <w:jc w:val="both"/>
        <w:rPr>
          <w:rFonts w:ascii="Times New Roman" w:eastAsia="Courier New" w:hAnsi="Times New Roman" w:cs="Times New Roman"/>
          <w:color w:val="000000" w:themeColor="text1"/>
          <w:sz w:val="24"/>
          <w:szCs w:val="24"/>
        </w:rPr>
      </w:pPr>
    </w:p>
    <w:p w14:paraId="17D47D8E" w14:textId="6E1A26A9" w:rsidR="00A26C6A" w:rsidRDefault="00A26C6A" w:rsidP="00A47078">
      <w:pPr>
        <w:pStyle w:val="Prrafodelista"/>
        <w:numPr>
          <w:ilvl w:val="0"/>
          <w:numId w:val="3"/>
        </w:numPr>
        <w:spacing w:after="0" w:line="240" w:lineRule="auto"/>
        <w:jc w:val="both"/>
        <w:rPr>
          <w:rFonts w:ascii="Times New Roman" w:eastAsia="Courier New" w:hAnsi="Times New Roman" w:cs="Times New Roman"/>
          <w:color w:val="000000" w:themeColor="text1"/>
          <w:sz w:val="24"/>
          <w:szCs w:val="24"/>
        </w:rPr>
      </w:pPr>
      <w:r>
        <w:rPr>
          <w:rFonts w:ascii="Times New Roman" w:eastAsia="Courier New" w:hAnsi="Times New Roman" w:cs="Times New Roman"/>
          <w:color w:val="000000" w:themeColor="text1"/>
          <w:sz w:val="24"/>
          <w:szCs w:val="24"/>
        </w:rPr>
        <w:t>Si la e</w:t>
      </w:r>
      <w:r w:rsidR="003A32FC">
        <w:rPr>
          <w:rFonts w:ascii="Times New Roman" w:eastAsia="Courier New" w:hAnsi="Times New Roman" w:cs="Times New Roman"/>
          <w:color w:val="000000" w:themeColor="text1"/>
          <w:sz w:val="24"/>
          <w:szCs w:val="24"/>
        </w:rPr>
        <w:t>mpresa tiene activos subyacentes consistentes en entidades bajo la fiscalización de la Comisión para el Mercado Financiero, o no estándolo, cuenta con estados financieros auditados, su valor económico será la suma que resulte de multiplicar el porcentaje de propiedad indirecta que forma parte de la herencia, aplicado sobre su patrimonio financiero.</w:t>
      </w:r>
    </w:p>
    <w:p w14:paraId="7C4A0E1D" w14:textId="0D1AD2B9" w:rsidR="003A32FC" w:rsidRDefault="003A32FC" w:rsidP="00A47078">
      <w:pPr>
        <w:pStyle w:val="Prrafodelista"/>
        <w:numPr>
          <w:ilvl w:val="0"/>
          <w:numId w:val="3"/>
        </w:numPr>
        <w:spacing w:after="0" w:line="240" w:lineRule="auto"/>
        <w:jc w:val="both"/>
        <w:rPr>
          <w:rFonts w:ascii="Times New Roman" w:eastAsia="Courier New" w:hAnsi="Times New Roman" w:cs="Times New Roman"/>
          <w:color w:val="000000" w:themeColor="text1"/>
          <w:sz w:val="24"/>
          <w:szCs w:val="24"/>
        </w:rPr>
      </w:pPr>
      <w:r>
        <w:rPr>
          <w:rFonts w:ascii="Times New Roman" w:eastAsia="Courier New" w:hAnsi="Times New Roman" w:cs="Times New Roman"/>
          <w:color w:val="000000" w:themeColor="text1"/>
          <w:sz w:val="24"/>
          <w:szCs w:val="24"/>
        </w:rPr>
        <w:t xml:space="preserve">Si la empresa tiene activos subyacentes consistentes en entidades que no cumplen con lo indicado anteriormente, se valorizarán mediante informe elaborado por agentes independientes, </w:t>
      </w:r>
      <w:r w:rsidR="00B23BF0">
        <w:rPr>
          <w:rFonts w:ascii="Times New Roman" w:eastAsia="Courier New" w:hAnsi="Times New Roman" w:cs="Times New Roman"/>
          <w:color w:val="000000" w:themeColor="text1"/>
          <w:sz w:val="24"/>
          <w:szCs w:val="24"/>
        </w:rPr>
        <w:t>debiendo cumplir</w:t>
      </w:r>
      <w:r>
        <w:rPr>
          <w:rFonts w:ascii="Times New Roman" w:eastAsia="Courier New" w:hAnsi="Times New Roman" w:cs="Times New Roman"/>
          <w:color w:val="000000" w:themeColor="text1"/>
          <w:sz w:val="24"/>
          <w:szCs w:val="24"/>
        </w:rPr>
        <w:t xml:space="preserve"> los requisitos que establecerá el SII mediante resolución.</w:t>
      </w:r>
    </w:p>
    <w:p w14:paraId="5912B93B" w14:textId="55173476" w:rsidR="00B23BF0" w:rsidRPr="00A26C6A" w:rsidRDefault="00B23BF0" w:rsidP="00A47078">
      <w:pPr>
        <w:pStyle w:val="Prrafodelista"/>
        <w:numPr>
          <w:ilvl w:val="0"/>
          <w:numId w:val="3"/>
        </w:numPr>
        <w:spacing w:after="0" w:line="240" w:lineRule="auto"/>
        <w:jc w:val="both"/>
        <w:rPr>
          <w:rFonts w:ascii="Times New Roman" w:eastAsia="Courier New" w:hAnsi="Times New Roman" w:cs="Times New Roman"/>
          <w:color w:val="000000" w:themeColor="text1"/>
          <w:sz w:val="24"/>
          <w:szCs w:val="24"/>
        </w:rPr>
      </w:pPr>
      <w:r>
        <w:rPr>
          <w:rFonts w:ascii="Times New Roman" w:eastAsia="Courier New" w:hAnsi="Times New Roman" w:cs="Times New Roman"/>
          <w:color w:val="000000" w:themeColor="text1"/>
          <w:sz w:val="24"/>
          <w:szCs w:val="24"/>
        </w:rPr>
        <w:t xml:space="preserve">Si la empresa tiene activos subyacentes consistentes en instrumentos con cotización bursátil, se valorizarán según el precio promedio que se registre dentro de los 6 meses anteriores a la fecha de delación, el que deberá acreditarse por certificado emitido por el regulador o por un agente autorizado. </w:t>
      </w:r>
    </w:p>
    <w:p w14:paraId="5973EEB7" w14:textId="77777777" w:rsidR="00A26C6A" w:rsidRPr="00A26C6A" w:rsidRDefault="00A26C6A" w:rsidP="00A26C6A">
      <w:pPr>
        <w:spacing w:after="0" w:line="240" w:lineRule="auto"/>
        <w:jc w:val="both"/>
        <w:rPr>
          <w:rFonts w:ascii="Times New Roman" w:eastAsia="Courier New" w:hAnsi="Times New Roman" w:cs="Times New Roman"/>
          <w:color w:val="000000" w:themeColor="text1"/>
          <w:sz w:val="24"/>
          <w:szCs w:val="24"/>
        </w:rPr>
      </w:pPr>
    </w:p>
    <w:p w14:paraId="6E2D4349" w14:textId="6B3E722A" w:rsidR="00A26C6A" w:rsidRPr="00CF1F0C" w:rsidRDefault="00B23BF0" w:rsidP="00A47078">
      <w:pPr>
        <w:pStyle w:val="Prrafodelista"/>
        <w:numPr>
          <w:ilvl w:val="0"/>
          <w:numId w:val="2"/>
        </w:numPr>
        <w:spacing w:after="0" w:line="240" w:lineRule="auto"/>
        <w:jc w:val="both"/>
        <w:rPr>
          <w:rFonts w:ascii="Times New Roman" w:eastAsia="Courier New" w:hAnsi="Times New Roman" w:cs="Times New Roman"/>
          <w:color w:val="000000" w:themeColor="text1"/>
          <w:sz w:val="24"/>
          <w:szCs w:val="24"/>
          <w:u w:val="single"/>
        </w:rPr>
      </w:pPr>
      <w:r w:rsidRPr="00B23BF0">
        <w:rPr>
          <w:rFonts w:ascii="Times New Roman" w:eastAsia="Courier New" w:hAnsi="Times New Roman" w:cs="Times New Roman"/>
          <w:color w:val="000000" w:themeColor="text1"/>
          <w:sz w:val="24"/>
          <w:szCs w:val="24"/>
          <w:u w:val="single"/>
        </w:rPr>
        <w:t>Acciones, cuotas, derechos o instrumentos financieros que se transen en Chile o el extranjero en un mercado regulado por entidades públicas</w:t>
      </w:r>
      <w:r w:rsidRPr="00B23BF0">
        <w:rPr>
          <w:rFonts w:ascii="Times New Roman" w:eastAsia="Courier New" w:hAnsi="Times New Roman" w:cs="Times New Roman"/>
          <w:color w:val="000000" w:themeColor="text1"/>
          <w:sz w:val="24"/>
          <w:szCs w:val="24"/>
        </w:rPr>
        <w:t xml:space="preserve">: </w:t>
      </w:r>
      <w:r>
        <w:rPr>
          <w:rFonts w:ascii="Times New Roman" w:eastAsia="Courier New" w:hAnsi="Times New Roman" w:cs="Times New Roman"/>
          <w:color w:val="000000" w:themeColor="text1"/>
          <w:sz w:val="24"/>
          <w:szCs w:val="24"/>
        </w:rPr>
        <w:t>se valorizarán según el precio promedio que se registre dentro de los 6 meses anteriores a la fecha de delación, el que deberá acreditarse por certificado emitido por el regulador o por un agente autorizado.</w:t>
      </w:r>
    </w:p>
    <w:p w14:paraId="55AEA1E7" w14:textId="77777777" w:rsidR="00CF1F0C" w:rsidRPr="00B23BF0" w:rsidRDefault="00CF1F0C" w:rsidP="00CF1F0C">
      <w:pPr>
        <w:pStyle w:val="Prrafodelista"/>
        <w:spacing w:after="0" w:line="240" w:lineRule="auto"/>
        <w:jc w:val="both"/>
        <w:rPr>
          <w:rFonts w:ascii="Times New Roman" w:eastAsia="Courier New" w:hAnsi="Times New Roman" w:cs="Times New Roman"/>
          <w:color w:val="000000" w:themeColor="text1"/>
          <w:sz w:val="24"/>
          <w:szCs w:val="24"/>
          <w:u w:val="single"/>
        </w:rPr>
      </w:pPr>
    </w:p>
    <w:p w14:paraId="2AA901C2" w14:textId="27860372" w:rsidR="00B23BF0" w:rsidRPr="00CF1F0C" w:rsidRDefault="00B23BF0" w:rsidP="00A47078">
      <w:pPr>
        <w:pStyle w:val="Prrafodelista"/>
        <w:numPr>
          <w:ilvl w:val="0"/>
          <w:numId w:val="2"/>
        </w:numPr>
        <w:spacing w:after="0" w:line="240" w:lineRule="auto"/>
        <w:jc w:val="both"/>
        <w:rPr>
          <w:rFonts w:ascii="Times New Roman" w:eastAsia="Courier New" w:hAnsi="Times New Roman" w:cs="Times New Roman"/>
          <w:color w:val="000000" w:themeColor="text1"/>
          <w:sz w:val="24"/>
          <w:szCs w:val="24"/>
          <w:u w:val="single"/>
        </w:rPr>
      </w:pPr>
      <w:r w:rsidRPr="00B23BF0">
        <w:rPr>
          <w:rFonts w:ascii="Times New Roman" w:eastAsia="Courier New" w:hAnsi="Times New Roman" w:cs="Times New Roman"/>
          <w:color w:val="000000" w:themeColor="text1"/>
          <w:sz w:val="24"/>
          <w:szCs w:val="24"/>
          <w:u w:val="single"/>
        </w:rPr>
        <w:t xml:space="preserve">Acciones, cuotas, derechos </w:t>
      </w:r>
      <w:r w:rsidR="004172A7">
        <w:rPr>
          <w:rFonts w:ascii="Times New Roman" w:eastAsia="Courier New" w:hAnsi="Times New Roman" w:cs="Times New Roman"/>
          <w:color w:val="000000" w:themeColor="text1"/>
          <w:sz w:val="24"/>
          <w:szCs w:val="24"/>
          <w:u w:val="single"/>
        </w:rPr>
        <w:t>u otro tipo de participación en empresa cuyos valores no sean transados en mercados regulados</w:t>
      </w:r>
      <w:r w:rsidRPr="00B23BF0">
        <w:rPr>
          <w:rFonts w:ascii="Times New Roman" w:eastAsia="Courier New" w:hAnsi="Times New Roman" w:cs="Times New Roman"/>
          <w:color w:val="000000" w:themeColor="text1"/>
          <w:sz w:val="24"/>
          <w:szCs w:val="24"/>
        </w:rPr>
        <w:t>:</w:t>
      </w:r>
      <w:r w:rsidR="004172A7">
        <w:rPr>
          <w:rFonts w:ascii="Times New Roman" w:eastAsia="Courier New" w:hAnsi="Times New Roman" w:cs="Times New Roman"/>
          <w:color w:val="000000" w:themeColor="text1"/>
          <w:sz w:val="24"/>
          <w:szCs w:val="24"/>
        </w:rPr>
        <w:t xml:space="preserve"> se valorizan los activos subyacentes, conforme lo indicado anteriormente.</w:t>
      </w:r>
    </w:p>
    <w:p w14:paraId="5B3EEECD" w14:textId="77777777" w:rsidR="00CF1F0C" w:rsidRPr="00CF1F0C" w:rsidRDefault="00CF1F0C" w:rsidP="00CF1F0C">
      <w:pPr>
        <w:spacing w:after="0" w:line="240" w:lineRule="auto"/>
        <w:jc w:val="both"/>
        <w:rPr>
          <w:rFonts w:ascii="Times New Roman" w:eastAsia="Courier New" w:hAnsi="Times New Roman" w:cs="Times New Roman"/>
          <w:color w:val="000000" w:themeColor="text1"/>
          <w:sz w:val="24"/>
          <w:szCs w:val="24"/>
          <w:u w:val="single"/>
        </w:rPr>
      </w:pPr>
    </w:p>
    <w:p w14:paraId="25F6FF90" w14:textId="64FE5C57" w:rsidR="004172A7" w:rsidRPr="00CF1F0C" w:rsidRDefault="004172A7" w:rsidP="00A47078">
      <w:pPr>
        <w:pStyle w:val="Prrafodelista"/>
        <w:numPr>
          <w:ilvl w:val="0"/>
          <w:numId w:val="2"/>
        </w:numPr>
        <w:spacing w:after="0" w:line="240" w:lineRule="auto"/>
        <w:jc w:val="both"/>
        <w:rPr>
          <w:rFonts w:ascii="Times New Roman" w:eastAsia="Courier New" w:hAnsi="Times New Roman" w:cs="Times New Roman"/>
          <w:color w:val="000000" w:themeColor="text1"/>
          <w:sz w:val="24"/>
          <w:szCs w:val="24"/>
          <w:u w:val="single"/>
        </w:rPr>
      </w:pPr>
      <w:r>
        <w:rPr>
          <w:rFonts w:ascii="Times New Roman" w:eastAsia="Courier New" w:hAnsi="Times New Roman" w:cs="Times New Roman"/>
          <w:color w:val="000000" w:themeColor="text1"/>
          <w:sz w:val="24"/>
          <w:szCs w:val="24"/>
          <w:u w:val="single"/>
        </w:rPr>
        <w:t>Entidades residentes o domiciliadas en regímenes fiscales preferenciales (conforme al art. 41 H de la ley de impuesto a la herencia</w:t>
      </w:r>
      <w:r w:rsidRPr="004172A7">
        <w:rPr>
          <w:rFonts w:ascii="Times New Roman" w:eastAsia="Courier New" w:hAnsi="Times New Roman" w:cs="Times New Roman"/>
          <w:color w:val="000000" w:themeColor="text1"/>
          <w:sz w:val="24"/>
          <w:szCs w:val="24"/>
          <w:u w:val="single"/>
        </w:rPr>
        <w:t>)</w:t>
      </w:r>
      <w:r w:rsidRPr="004172A7">
        <w:rPr>
          <w:rFonts w:ascii="Times New Roman" w:eastAsia="Courier New" w:hAnsi="Times New Roman" w:cs="Times New Roman"/>
          <w:color w:val="000000" w:themeColor="text1"/>
          <w:sz w:val="24"/>
          <w:szCs w:val="24"/>
        </w:rPr>
        <w:t>: se deberán valorizar los activos subyacentes de la misma conforme a lo anterior, aplicando las reglas respecto de los propios activos subyacentes de estas, hasta que el activo subyacente sea un activo fijo o se trate de una entidad no residente o domiciliada en est</w:t>
      </w:r>
      <w:r w:rsidR="004537BC">
        <w:rPr>
          <w:rFonts w:ascii="Times New Roman" w:eastAsia="Courier New" w:hAnsi="Times New Roman" w:cs="Times New Roman"/>
          <w:color w:val="000000" w:themeColor="text1"/>
          <w:sz w:val="24"/>
          <w:szCs w:val="24"/>
        </w:rPr>
        <w:t>a</w:t>
      </w:r>
      <w:r w:rsidRPr="004172A7">
        <w:rPr>
          <w:rFonts w:ascii="Times New Roman" w:eastAsia="Courier New" w:hAnsi="Times New Roman" w:cs="Times New Roman"/>
          <w:color w:val="000000" w:themeColor="text1"/>
          <w:sz w:val="24"/>
          <w:szCs w:val="24"/>
        </w:rPr>
        <w:t>s</w:t>
      </w:r>
      <w:r w:rsidR="004537BC">
        <w:rPr>
          <w:rFonts w:ascii="Times New Roman" w:eastAsia="Courier New" w:hAnsi="Times New Roman" w:cs="Times New Roman"/>
          <w:color w:val="000000" w:themeColor="text1"/>
          <w:sz w:val="24"/>
          <w:szCs w:val="24"/>
        </w:rPr>
        <w:t xml:space="preserve"> entidades</w:t>
      </w:r>
      <w:r w:rsidRPr="004172A7">
        <w:rPr>
          <w:rFonts w:ascii="Times New Roman" w:eastAsia="Courier New" w:hAnsi="Times New Roman" w:cs="Times New Roman"/>
          <w:color w:val="000000" w:themeColor="text1"/>
          <w:sz w:val="24"/>
          <w:szCs w:val="24"/>
        </w:rPr>
        <w:t>.</w:t>
      </w:r>
    </w:p>
    <w:p w14:paraId="6C7271CD" w14:textId="77777777" w:rsidR="00CF1F0C" w:rsidRPr="00CF1F0C" w:rsidRDefault="00CF1F0C" w:rsidP="00CF1F0C">
      <w:pPr>
        <w:spacing w:after="0" w:line="240" w:lineRule="auto"/>
        <w:jc w:val="both"/>
        <w:rPr>
          <w:rFonts w:ascii="Times New Roman" w:eastAsia="Courier New" w:hAnsi="Times New Roman" w:cs="Times New Roman"/>
          <w:color w:val="000000" w:themeColor="text1"/>
          <w:sz w:val="24"/>
          <w:szCs w:val="24"/>
          <w:u w:val="single"/>
        </w:rPr>
      </w:pPr>
    </w:p>
    <w:p w14:paraId="17751644" w14:textId="0BEA67BB" w:rsidR="00A20823" w:rsidRPr="00CF1F0C" w:rsidRDefault="00A20823" w:rsidP="00A47078">
      <w:pPr>
        <w:pStyle w:val="Prrafodelista"/>
        <w:numPr>
          <w:ilvl w:val="0"/>
          <w:numId w:val="2"/>
        </w:numPr>
        <w:spacing w:after="0" w:line="240" w:lineRule="auto"/>
        <w:jc w:val="both"/>
        <w:rPr>
          <w:rFonts w:ascii="Times New Roman" w:eastAsia="Courier New" w:hAnsi="Times New Roman" w:cs="Times New Roman"/>
          <w:color w:val="000000" w:themeColor="text1"/>
          <w:sz w:val="24"/>
          <w:szCs w:val="24"/>
          <w:u w:val="single"/>
        </w:rPr>
      </w:pPr>
      <w:r>
        <w:rPr>
          <w:rFonts w:ascii="Times New Roman" w:eastAsia="Courier New" w:hAnsi="Times New Roman" w:cs="Times New Roman"/>
          <w:color w:val="000000" w:themeColor="text1"/>
          <w:sz w:val="24"/>
          <w:szCs w:val="24"/>
          <w:u w:val="single"/>
        </w:rPr>
        <w:t>Bienes inmuebles ubicados en Chile</w:t>
      </w:r>
      <w:r>
        <w:rPr>
          <w:rFonts w:ascii="Times New Roman" w:eastAsia="Courier New" w:hAnsi="Times New Roman" w:cs="Times New Roman"/>
          <w:color w:val="000000" w:themeColor="text1"/>
          <w:sz w:val="24"/>
          <w:szCs w:val="24"/>
        </w:rPr>
        <w:t>: se valorizan conforme a su avalúo fiscal correspondiente al semestre en que ocurra la delación de la herencia. Si el inmueble se adquirió dentro de los tres años anteriores a la delación, se valorizan según su valor de adquisición debidamente reajustado.</w:t>
      </w:r>
    </w:p>
    <w:p w14:paraId="3A9A2B61" w14:textId="77777777" w:rsidR="00CF1F0C" w:rsidRPr="00CF1F0C" w:rsidRDefault="00CF1F0C" w:rsidP="00CF1F0C">
      <w:pPr>
        <w:spacing w:after="0" w:line="240" w:lineRule="auto"/>
        <w:jc w:val="both"/>
        <w:rPr>
          <w:rFonts w:ascii="Times New Roman" w:eastAsia="Courier New" w:hAnsi="Times New Roman" w:cs="Times New Roman"/>
          <w:color w:val="000000" w:themeColor="text1"/>
          <w:sz w:val="24"/>
          <w:szCs w:val="24"/>
          <w:u w:val="single"/>
        </w:rPr>
      </w:pPr>
    </w:p>
    <w:p w14:paraId="7B557D2F" w14:textId="56302A02" w:rsidR="00A20823" w:rsidRPr="00CF1F0C" w:rsidRDefault="00A20823" w:rsidP="00A47078">
      <w:pPr>
        <w:pStyle w:val="Prrafodelista"/>
        <w:numPr>
          <w:ilvl w:val="0"/>
          <w:numId w:val="2"/>
        </w:numPr>
        <w:spacing w:after="0" w:line="240" w:lineRule="auto"/>
        <w:jc w:val="both"/>
        <w:rPr>
          <w:rFonts w:ascii="Times New Roman" w:eastAsia="Courier New" w:hAnsi="Times New Roman" w:cs="Times New Roman"/>
          <w:color w:val="000000" w:themeColor="text1"/>
          <w:sz w:val="24"/>
          <w:szCs w:val="24"/>
          <w:u w:val="single"/>
        </w:rPr>
      </w:pPr>
      <w:r>
        <w:rPr>
          <w:rFonts w:ascii="Times New Roman" w:eastAsia="Courier New" w:hAnsi="Times New Roman" w:cs="Times New Roman"/>
          <w:color w:val="000000" w:themeColor="text1"/>
          <w:sz w:val="24"/>
          <w:szCs w:val="24"/>
          <w:u w:val="single"/>
        </w:rPr>
        <w:t>Vehículos</w:t>
      </w:r>
      <w:r w:rsidRPr="004537BC">
        <w:rPr>
          <w:rFonts w:ascii="Times New Roman" w:eastAsia="Courier New" w:hAnsi="Times New Roman" w:cs="Times New Roman"/>
          <w:color w:val="000000" w:themeColor="text1"/>
          <w:sz w:val="24"/>
          <w:szCs w:val="24"/>
        </w:rPr>
        <w:t xml:space="preserve">: </w:t>
      </w:r>
      <w:r w:rsidR="00CF1F0C">
        <w:rPr>
          <w:rFonts w:ascii="Times New Roman" w:eastAsia="Courier New" w:hAnsi="Times New Roman" w:cs="Times New Roman"/>
          <w:color w:val="000000" w:themeColor="text1"/>
          <w:sz w:val="24"/>
          <w:szCs w:val="24"/>
        </w:rPr>
        <w:t>según tasación del año de la delación de la herencia. Si no existe, se debe realizar tasación por agente independiente.</w:t>
      </w:r>
    </w:p>
    <w:p w14:paraId="10C861D3" w14:textId="77777777" w:rsidR="00CF1F0C" w:rsidRPr="00CF1F0C" w:rsidRDefault="00CF1F0C" w:rsidP="00CF1F0C">
      <w:pPr>
        <w:spacing w:after="0" w:line="240" w:lineRule="auto"/>
        <w:jc w:val="both"/>
        <w:rPr>
          <w:rFonts w:ascii="Times New Roman" w:eastAsia="Courier New" w:hAnsi="Times New Roman" w:cs="Times New Roman"/>
          <w:color w:val="000000" w:themeColor="text1"/>
          <w:sz w:val="24"/>
          <w:szCs w:val="24"/>
          <w:u w:val="single"/>
        </w:rPr>
      </w:pPr>
    </w:p>
    <w:p w14:paraId="63B95E07" w14:textId="186363CD" w:rsidR="00CF1F0C" w:rsidRPr="00CF1F0C" w:rsidRDefault="00CF1F0C" w:rsidP="00A47078">
      <w:pPr>
        <w:pStyle w:val="Prrafodelista"/>
        <w:numPr>
          <w:ilvl w:val="0"/>
          <w:numId w:val="2"/>
        </w:numPr>
        <w:spacing w:after="0" w:line="240" w:lineRule="auto"/>
        <w:jc w:val="both"/>
        <w:rPr>
          <w:rFonts w:ascii="Times New Roman" w:eastAsia="Courier New" w:hAnsi="Times New Roman" w:cs="Times New Roman"/>
          <w:color w:val="000000" w:themeColor="text1"/>
          <w:sz w:val="24"/>
          <w:szCs w:val="24"/>
          <w:u w:val="single"/>
        </w:rPr>
      </w:pPr>
      <w:r>
        <w:rPr>
          <w:rFonts w:ascii="Times New Roman" w:eastAsia="Courier New" w:hAnsi="Times New Roman" w:cs="Times New Roman"/>
          <w:color w:val="000000" w:themeColor="text1"/>
          <w:sz w:val="24"/>
          <w:szCs w:val="24"/>
          <w:u w:val="single"/>
        </w:rPr>
        <w:t>Derivados</w:t>
      </w:r>
      <w:r w:rsidRPr="00CF1F0C">
        <w:rPr>
          <w:rFonts w:ascii="Times New Roman" w:eastAsia="Courier New" w:hAnsi="Times New Roman" w:cs="Times New Roman"/>
          <w:color w:val="000000" w:themeColor="text1"/>
          <w:sz w:val="24"/>
          <w:szCs w:val="24"/>
        </w:rPr>
        <w:t>: según el número 4 del art. 5 de la ley 20.544.</w:t>
      </w:r>
    </w:p>
    <w:p w14:paraId="51AAB6E9" w14:textId="77777777" w:rsidR="00CF1F0C" w:rsidRPr="00CF1F0C" w:rsidRDefault="00CF1F0C" w:rsidP="00CF1F0C">
      <w:pPr>
        <w:pStyle w:val="Prrafodelista"/>
        <w:rPr>
          <w:rFonts w:ascii="Times New Roman" w:eastAsia="Courier New" w:hAnsi="Times New Roman" w:cs="Times New Roman"/>
          <w:color w:val="000000" w:themeColor="text1"/>
          <w:sz w:val="24"/>
          <w:szCs w:val="24"/>
          <w:u w:val="single"/>
        </w:rPr>
      </w:pPr>
    </w:p>
    <w:p w14:paraId="37F874EF" w14:textId="451919FF" w:rsidR="00CF1F0C" w:rsidRDefault="00CF1F0C" w:rsidP="00A47078">
      <w:pPr>
        <w:pStyle w:val="Prrafodelista"/>
        <w:numPr>
          <w:ilvl w:val="0"/>
          <w:numId w:val="2"/>
        </w:numPr>
        <w:spacing w:after="0" w:line="240" w:lineRule="auto"/>
        <w:jc w:val="both"/>
        <w:rPr>
          <w:rFonts w:ascii="Times New Roman" w:eastAsia="Courier New" w:hAnsi="Times New Roman" w:cs="Times New Roman"/>
          <w:color w:val="000000" w:themeColor="text1"/>
          <w:sz w:val="24"/>
          <w:szCs w:val="24"/>
        </w:rPr>
      </w:pPr>
      <w:r>
        <w:rPr>
          <w:rFonts w:ascii="Times New Roman" w:eastAsia="Courier New" w:hAnsi="Times New Roman" w:cs="Times New Roman"/>
          <w:color w:val="000000" w:themeColor="text1"/>
          <w:sz w:val="24"/>
          <w:szCs w:val="24"/>
          <w:u w:val="single"/>
        </w:rPr>
        <w:lastRenderedPageBreak/>
        <w:t>Portafolios de inversiones</w:t>
      </w:r>
      <w:r w:rsidRPr="00CF1F0C">
        <w:rPr>
          <w:rFonts w:ascii="Times New Roman" w:eastAsia="Courier New" w:hAnsi="Times New Roman" w:cs="Times New Roman"/>
          <w:color w:val="000000" w:themeColor="text1"/>
          <w:sz w:val="24"/>
          <w:szCs w:val="24"/>
        </w:rPr>
        <w:t>: el valor informado por la entidad administradora al momento de la delación.</w:t>
      </w:r>
    </w:p>
    <w:p w14:paraId="7E41617E" w14:textId="77777777" w:rsidR="00CF1F0C" w:rsidRPr="00CF1F0C" w:rsidRDefault="00CF1F0C" w:rsidP="00CF1F0C">
      <w:pPr>
        <w:pStyle w:val="Prrafodelista"/>
        <w:rPr>
          <w:rFonts w:ascii="Times New Roman" w:eastAsia="Courier New" w:hAnsi="Times New Roman" w:cs="Times New Roman"/>
          <w:color w:val="000000" w:themeColor="text1"/>
          <w:sz w:val="24"/>
          <w:szCs w:val="24"/>
        </w:rPr>
      </w:pPr>
    </w:p>
    <w:p w14:paraId="6F071870" w14:textId="49900764" w:rsidR="00CF1F0C" w:rsidRDefault="00CF1F0C" w:rsidP="00A47078">
      <w:pPr>
        <w:pStyle w:val="Prrafodelista"/>
        <w:numPr>
          <w:ilvl w:val="0"/>
          <w:numId w:val="2"/>
        </w:numPr>
        <w:spacing w:after="0" w:line="240" w:lineRule="auto"/>
        <w:jc w:val="both"/>
        <w:rPr>
          <w:rFonts w:ascii="Times New Roman" w:eastAsia="Courier New" w:hAnsi="Times New Roman" w:cs="Times New Roman"/>
          <w:color w:val="000000" w:themeColor="text1"/>
          <w:sz w:val="24"/>
          <w:szCs w:val="24"/>
        </w:rPr>
      </w:pPr>
      <w:r w:rsidRPr="00CF1F0C">
        <w:rPr>
          <w:rFonts w:ascii="Times New Roman" w:eastAsia="Courier New" w:hAnsi="Times New Roman" w:cs="Times New Roman"/>
          <w:color w:val="000000" w:themeColor="text1"/>
          <w:sz w:val="24"/>
          <w:szCs w:val="24"/>
          <w:u w:val="single"/>
        </w:rPr>
        <w:t>Cuentas bancarias en Chile o el exterior:</w:t>
      </w:r>
      <w:r>
        <w:rPr>
          <w:rFonts w:ascii="Times New Roman" w:eastAsia="Courier New" w:hAnsi="Times New Roman" w:cs="Times New Roman"/>
          <w:color w:val="000000" w:themeColor="text1"/>
          <w:sz w:val="24"/>
          <w:szCs w:val="24"/>
        </w:rPr>
        <w:t xml:space="preserve"> el saldo a la fecha en que se produzca la delación de la herencia.</w:t>
      </w:r>
    </w:p>
    <w:p w14:paraId="66DE18A9" w14:textId="77777777" w:rsidR="00CF1F0C" w:rsidRPr="00CF1F0C" w:rsidRDefault="00CF1F0C" w:rsidP="00CF1F0C">
      <w:pPr>
        <w:pStyle w:val="Prrafodelista"/>
        <w:rPr>
          <w:rFonts w:ascii="Times New Roman" w:eastAsia="Courier New" w:hAnsi="Times New Roman" w:cs="Times New Roman"/>
          <w:color w:val="000000" w:themeColor="text1"/>
          <w:sz w:val="24"/>
          <w:szCs w:val="24"/>
        </w:rPr>
      </w:pPr>
    </w:p>
    <w:p w14:paraId="35786597" w14:textId="69EB457E" w:rsidR="00CF1F0C" w:rsidRPr="00CF1F0C" w:rsidRDefault="0049001C" w:rsidP="0049001C">
      <w:pPr>
        <w:spacing w:after="0" w:line="240" w:lineRule="auto"/>
        <w:ind w:left="426"/>
        <w:jc w:val="both"/>
        <w:rPr>
          <w:rFonts w:ascii="Times New Roman" w:eastAsia="Courier New" w:hAnsi="Times New Roman" w:cs="Times New Roman"/>
          <w:color w:val="000000" w:themeColor="text1"/>
          <w:sz w:val="24"/>
          <w:szCs w:val="24"/>
        </w:rPr>
      </w:pPr>
      <w:r>
        <w:rPr>
          <w:rFonts w:ascii="Times New Roman" w:eastAsia="Courier New" w:hAnsi="Times New Roman" w:cs="Times New Roman"/>
          <w:color w:val="000000" w:themeColor="text1"/>
          <w:sz w:val="24"/>
          <w:szCs w:val="24"/>
        </w:rPr>
        <w:t>Finalmente, si los herederos consideraren que existe otro método de valoración que permita obtener de mejor forma su valor económico, podrán aplicarlo siempre que puedan acreditar fehacientemente que el utilizado es más adecuado que el dispuesto por la ley.</w:t>
      </w:r>
    </w:p>
    <w:p w14:paraId="67207280" w14:textId="77777777" w:rsidR="005E3D22" w:rsidRPr="0049001C" w:rsidRDefault="005E3D22" w:rsidP="0049001C">
      <w:pPr>
        <w:rPr>
          <w:rFonts w:ascii="Times New Roman" w:eastAsia="Courier New" w:hAnsi="Times New Roman" w:cs="Times New Roman"/>
          <w:color w:val="000000" w:themeColor="text1"/>
          <w:sz w:val="24"/>
          <w:szCs w:val="24"/>
        </w:rPr>
      </w:pPr>
    </w:p>
    <w:p w14:paraId="7F5B2828" w14:textId="467C7FB2" w:rsidR="005E3D22" w:rsidRDefault="005E3D22" w:rsidP="00A47078">
      <w:pPr>
        <w:pStyle w:val="Prrafodelista"/>
        <w:numPr>
          <w:ilvl w:val="0"/>
          <w:numId w:val="1"/>
        </w:numPr>
        <w:spacing w:after="0" w:line="240" w:lineRule="auto"/>
        <w:jc w:val="both"/>
        <w:rPr>
          <w:rFonts w:ascii="Times New Roman" w:eastAsia="Courier New" w:hAnsi="Times New Roman" w:cs="Times New Roman"/>
          <w:color w:val="000000" w:themeColor="text1"/>
          <w:sz w:val="24"/>
          <w:szCs w:val="24"/>
        </w:rPr>
      </w:pPr>
      <w:r>
        <w:rPr>
          <w:rFonts w:ascii="Times New Roman" w:eastAsia="Courier New" w:hAnsi="Times New Roman" w:cs="Times New Roman"/>
          <w:color w:val="000000" w:themeColor="text1"/>
          <w:sz w:val="24"/>
          <w:szCs w:val="24"/>
        </w:rPr>
        <w:t>Se elimina el art. 46 bis</w:t>
      </w:r>
      <w:r w:rsidR="0049001C">
        <w:rPr>
          <w:rFonts w:ascii="Times New Roman" w:eastAsia="Courier New" w:hAnsi="Times New Roman" w:cs="Times New Roman"/>
          <w:color w:val="000000" w:themeColor="text1"/>
          <w:sz w:val="24"/>
          <w:szCs w:val="24"/>
        </w:rPr>
        <w:t xml:space="preserve"> de la LIHAD, que establecía que a falta de norma especial los bienes hereditarios se valorizan conforme a su valor corriente en plaza</w:t>
      </w:r>
      <w:r>
        <w:rPr>
          <w:rFonts w:ascii="Times New Roman" w:eastAsia="Courier New" w:hAnsi="Times New Roman" w:cs="Times New Roman"/>
          <w:color w:val="000000" w:themeColor="text1"/>
          <w:sz w:val="24"/>
          <w:szCs w:val="24"/>
        </w:rPr>
        <w:t>, en concordancia con las nuevas normas</w:t>
      </w:r>
      <w:r w:rsidR="0049001C">
        <w:rPr>
          <w:rFonts w:ascii="Times New Roman" w:eastAsia="Courier New" w:hAnsi="Times New Roman" w:cs="Times New Roman"/>
          <w:color w:val="000000" w:themeColor="text1"/>
          <w:sz w:val="24"/>
          <w:szCs w:val="24"/>
        </w:rPr>
        <w:t xml:space="preserve"> de valorización</w:t>
      </w:r>
      <w:r>
        <w:rPr>
          <w:rFonts w:ascii="Times New Roman" w:eastAsia="Courier New" w:hAnsi="Times New Roman" w:cs="Times New Roman"/>
          <w:color w:val="000000" w:themeColor="text1"/>
          <w:sz w:val="24"/>
          <w:szCs w:val="24"/>
        </w:rPr>
        <w:t xml:space="preserve"> establecidas </w:t>
      </w:r>
      <w:r w:rsidR="0049001C">
        <w:rPr>
          <w:rFonts w:ascii="Times New Roman" w:eastAsia="Courier New" w:hAnsi="Times New Roman" w:cs="Times New Roman"/>
          <w:color w:val="000000" w:themeColor="text1"/>
          <w:sz w:val="24"/>
          <w:szCs w:val="24"/>
        </w:rPr>
        <w:t>en el nuevo art. 46 de la LIHAD</w:t>
      </w:r>
      <w:r>
        <w:rPr>
          <w:rFonts w:ascii="Times New Roman" w:eastAsia="Courier New" w:hAnsi="Times New Roman" w:cs="Times New Roman"/>
          <w:color w:val="000000" w:themeColor="text1"/>
          <w:sz w:val="24"/>
          <w:szCs w:val="24"/>
        </w:rPr>
        <w:t>.</w:t>
      </w:r>
    </w:p>
    <w:p w14:paraId="313BAF6C" w14:textId="77777777" w:rsidR="0049001C" w:rsidRDefault="0049001C" w:rsidP="0049001C">
      <w:pPr>
        <w:pStyle w:val="Prrafodelista"/>
        <w:spacing w:after="0" w:line="240" w:lineRule="auto"/>
        <w:ind w:left="360"/>
        <w:jc w:val="both"/>
        <w:rPr>
          <w:rFonts w:ascii="Times New Roman" w:eastAsia="Courier New" w:hAnsi="Times New Roman" w:cs="Times New Roman"/>
          <w:color w:val="000000" w:themeColor="text1"/>
          <w:sz w:val="24"/>
          <w:szCs w:val="24"/>
        </w:rPr>
      </w:pPr>
    </w:p>
    <w:p w14:paraId="16F5AFE8" w14:textId="085FFD75" w:rsidR="00954760" w:rsidRDefault="0049001C" w:rsidP="00A47078">
      <w:pPr>
        <w:pStyle w:val="Prrafodelista"/>
        <w:numPr>
          <w:ilvl w:val="0"/>
          <w:numId w:val="1"/>
        </w:numPr>
        <w:spacing w:after="0" w:line="240" w:lineRule="auto"/>
        <w:jc w:val="both"/>
        <w:rPr>
          <w:rFonts w:ascii="Times New Roman" w:eastAsia="Courier New" w:hAnsi="Times New Roman" w:cs="Times New Roman"/>
          <w:color w:val="000000" w:themeColor="text1"/>
          <w:sz w:val="24"/>
          <w:szCs w:val="24"/>
        </w:rPr>
      </w:pPr>
      <w:r w:rsidRPr="00D34C31">
        <w:rPr>
          <w:rFonts w:ascii="Times New Roman" w:eastAsia="Courier New" w:hAnsi="Times New Roman" w:cs="Times New Roman"/>
          <w:color w:val="000000" w:themeColor="text1"/>
          <w:sz w:val="24"/>
          <w:szCs w:val="24"/>
        </w:rPr>
        <w:t>Se eliminan las exenciones contempladas</w:t>
      </w:r>
      <w:r w:rsidR="00D34C31" w:rsidRPr="00D34C31">
        <w:rPr>
          <w:rFonts w:ascii="Times New Roman" w:eastAsia="Courier New" w:hAnsi="Times New Roman" w:cs="Times New Roman"/>
          <w:color w:val="000000" w:themeColor="text1"/>
          <w:sz w:val="24"/>
          <w:szCs w:val="24"/>
        </w:rPr>
        <w:t xml:space="preserve"> para las “viviendas económicas” reguladas en el</w:t>
      </w:r>
      <w:r w:rsidR="00D34C31">
        <w:rPr>
          <w:rFonts w:ascii="Times New Roman" w:eastAsia="Courier New" w:hAnsi="Times New Roman" w:cs="Times New Roman"/>
          <w:color w:val="000000" w:themeColor="text1"/>
          <w:sz w:val="24"/>
          <w:szCs w:val="24"/>
        </w:rPr>
        <w:t xml:space="preserve"> </w:t>
      </w:r>
      <w:r w:rsidR="00D34C31" w:rsidRPr="00D34C31">
        <w:rPr>
          <w:rFonts w:ascii="Times New Roman" w:eastAsia="Courier New" w:hAnsi="Times New Roman" w:cs="Times New Roman"/>
          <w:color w:val="000000" w:themeColor="text1"/>
          <w:sz w:val="24"/>
          <w:szCs w:val="24"/>
        </w:rPr>
        <w:t>DFL2 de 1959, del Ministerio de Hacienda, debiendo incluirse ahora dentro de los bienes de la herencia y tributar con este impuesto en consecuencia.</w:t>
      </w:r>
    </w:p>
    <w:p w14:paraId="577BAC57" w14:textId="170833C1" w:rsidR="00D34C31" w:rsidRDefault="00D34C31" w:rsidP="00D34C31">
      <w:pPr>
        <w:pStyle w:val="Prrafodelista"/>
        <w:rPr>
          <w:rFonts w:ascii="Times New Roman" w:eastAsia="Courier New" w:hAnsi="Times New Roman" w:cs="Times New Roman"/>
          <w:color w:val="000000" w:themeColor="text1"/>
          <w:sz w:val="24"/>
          <w:szCs w:val="24"/>
        </w:rPr>
      </w:pPr>
    </w:p>
    <w:p w14:paraId="10291D74" w14:textId="283DF08B" w:rsidR="00D34C31" w:rsidRPr="00D34C31" w:rsidRDefault="00D34C31" w:rsidP="00D34C31">
      <w:pPr>
        <w:jc w:val="both"/>
        <w:rPr>
          <w:rFonts w:ascii="Times New Roman" w:eastAsia="Courier New" w:hAnsi="Times New Roman" w:cs="Times New Roman"/>
          <w:color w:val="000000" w:themeColor="text1"/>
          <w:sz w:val="24"/>
          <w:szCs w:val="24"/>
        </w:rPr>
      </w:pPr>
      <w:r>
        <w:rPr>
          <w:rFonts w:ascii="Times New Roman" w:eastAsia="Courier New" w:hAnsi="Times New Roman" w:cs="Times New Roman"/>
          <w:color w:val="000000" w:themeColor="text1"/>
          <w:sz w:val="24"/>
          <w:szCs w:val="24"/>
        </w:rPr>
        <w:t xml:space="preserve">Las modificaciones incorporadas por la reforma tributaria a la LIHAD </w:t>
      </w:r>
      <w:proofErr w:type="gramStart"/>
      <w:r>
        <w:rPr>
          <w:rFonts w:ascii="Times New Roman" w:eastAsia="Courier New" w:hAnsi="Times New Roman" w:cs="Times New Roman"/>
          <w:color w:val="000000" w:themeColor="text1"/>
          <w:sz w:val="24"/>
          <w:szCs w:val="24"/>
        </w:rPr>
        <w:t>entrarán en vigencia</w:t>
      </w:r>
      <w:proofErr w:type="gramEnd"/>
      <w:r>
        <w:rPr>
          <w:rFonts w:ascii="Times New Roman" w:eastAsia="Courier New" w:hAnsi="Times New Roman" w:cs="Times New Roman"/>
          <w:color w:val="000000" w:themeColor="text1"/>
          <w:sz w:val="24"/>
          <w:szCs w:val="24"/>
        </w:rPr>
        <w:t xml:space="preserve"> a contar del mes primer día del mes siguiente al de su publicación en el Diario Oficial.</w:t>
      </w:r>
    </w:p>
    <w:p w14:paraId="7A2779E1" w14:textId="77777777" w:rsidR="00D34C31" w:rsidRPr="00D34C31" w:rsidRDefault="00D34C31" w:rsidP="00D34C31">
      <w:pPr>
        <w:pStyle w:val="Prrafodelista"/>
        <w:spacing w:after="0" w:line="240" w:lineRule="auto"/>
        <w:ind w:left="360"/>
        <w:jc w:val="both"/>
        <w:rPr>
          <w:rFonts w:ascii="Times New Roman" w:eastAsia="Courier New" w:hAnsi="Times New Roman" w:cs="Times New Roman"/>
          <w:color w:val="000000" w:themeColor="text1"/>
          <w:sz w:val="24"/>
          <w:szCs w:val="24"/>
        </w:rPr>
      </w:pPr>
    </w:p>
    <w:p w14:paraId="4C10C894" w14:textId="77777777" w:rsidR="00954760" w:rsidRDefault="00954760" w:rsidP="004D3191">
      <w:pPr>
        <w:spacing w:after="0" w:line="288" w:lineRule="auto"/>
        <w:jc w:val="both"/>
        <w:rPr>
          <w:rFonts w:ascii="Arial-ItalicMT" w:hAnsi="Arial-ItalicMT" w:cs="Arial-ItalicMT"/>
          <w:i/>
          <w:iCs/>
        </w:rPr>
      </w:pPr>
    </w:p>
    <w:p w14:paraId="35B25A6A" w14:textId="185BBC18" w:rsidR="007C4BD4" w:rsidRPr="007C4BD4" w:rsidRDefault="007C4BD4" w:rsidP="004D3191">
      <w:pPr>
        <w:spacing w:after="0" w:line="288" w:lineRule="auto"/>
        <w:jc w:val="both"/>
        <w:rPr>
          <w:rFonts w:ascii="Arial-ItalicMT" w:hAnsi="Arial-ItalicMT" w:cs="Arial-ItalicMT"/>
        </w:rPr>
      </w:pPr>
      <w:r>
        <w:rPr>
          <w:rFonts w:ascii="Arial-ItalicMT" w:hAnsi="Arial-ItalicMT" w:cs="Arial-ItalicMT"/>
        </w:rPr>
        <w:t xml:space="preserve">                                                           ***********************</w:t>
      </w:r>
    </w:p>
    <w:p w14:paraId="3140FCC9" w14:textId="77777777" w:rsidR="007C4BD4" w:rsidRDefault="007C4BD4" w:rsidP="004D3191">
      <w:pPr>
        <w:spacing w:after="0" w:line="288" w:lineRule="auto"/>
        <w:jc w:val="both"/>
        <w:rPr>
          <w:rFonts w:ascii="Times New Roman" w:hAnsi="Times New Roman" w:cs="Times New Roman"/>
          <w:bCs/>
          <w:sz w:val="24"/>
          <w:szCs w:val="24"/>
        </w:rPr>
      </w:pPr>
    </w:p>
    <w:p w14:paraId="7D4D67C9" w14:textId="38BEB09D" w:rsidR="00EF6639" w:rsidRDefault="00EF6639" w:rsidP="007C4BD4">
      <w:pPr>
        <w:spacing w:after="0" w:line="240" w:lineRule="auto"/>
        <w:jc w:val="both"/>
        <w:rPr>
          <w:rFonts w:ascii="Times New Roman" w:hAnsi="Times New Roman" w:cs="Times New Roman"/>
          <w:sz w:val="24"/>
          <w:szCs w:val="24"/>
        </w:rPr>
      </w:pPr>
      <w:r w:rsidRPr="00715F2B">
        <w:rPr>
          <w:rFonts w:ascii="Times New Roman" w:hAnsi="Times New Roman" w:cs="Times New Roman"/>
          <w:sz w:val="24"/>
          <w:szCs w:val="24"/>
        </w:rPr>
        <w:t>El presente reporte</w:t>
      </w:r>
      <w:r w:rsidR="00876C79" w:rsidRPr="00715F2B">
        <w:rPr>
          <w:rFonts w:ascii="Times New Roman" w:hAnsi="Times New Roman" w:cs="Times New Roman"/>
          <w:sz w:val="24"/>
          <w:szCs w:val="24"/>
        </w:rPr>
        <w:t xml:space="preserve"> ha sido preparado en consideración a las normas legales y reglamentarias de las leyes pertinentes y conforme nuestra experiencia y práctica en casos similares.</w:t>
      </w:r>
      <w:r w:rsidRPr="00715F2B">
        <w:rPr>
          <w:rFonts w:ascii="Times New Roman" w:hAnsi="Times New Roman" w:cs="Times New Roman"/>
          <w:sz w:val="24"/>
          <w:szCs w:val="24"/>
        </w:rPr>
        <w:t xml:space="preserve"> </w:t>
      </w:r>
    </w:p>
    <w:p w14:paraId="068A55F9" w14:textId="77777777" w:rsidR="004D3191" w:rsidRPr="00715F2B" w:rsidRDefault="004D3191" w:rsidP="007C4BD4">
      <w:pPr>
        <w:spacing w:after="0" w:line="240" w:lineRule="auto"/>
        <w:jc w:val="both"/>
        <w:rPr>
          <w:rFonts w:ascii="Times New Roman" w:hAnsi="Times New Roman" w:cs="Times New Roman"/>
          <w:sz w:val="24"/>
          <w:szCs w:val="24"/>
        </w:rPr>
      </w:pPr>
    </w:p>
    <w:p w14:paraId="1D937AA4" w14:textId="0410EA42" w:rsidR="00EF6639" w:rsidRDefault="00EF6639" w:rsidP="007C4BD4">
      <w:pPr>
        <w:spacing w:after="0" w:line="240" w:lineRule="auto"/>
        <w:jc w:val="both"/>
        <w:rPr>
          <w:rFonts w:ascii="Times New Roman" w:hAnsi="Times New Roman" w:cs="Times New Roman"/>
          <w:sz w:val="24"/>
          <w:szCs w:val="24"/>
        </w:rPr>
      </w:pPr>
      <w:r w:rsidRPr="00715F2B">
        <w:rPr>
          <w:rFonts w:ascii="Times New Roman" w:hAnsi="Times New Roman" w:cs="Times New Roman"/>
          <w:sz w:val="24"/>
          <w:szCs w:val="24"/>
        </w:rPr>
        <w:t xml:space="preserve">La información contenida en el presente reporte es exclusivamente para uso informativo y no constituye una asesoría tributaria ni legal por parte de Mena Alessandri </w:t>
      </w:r>
      <w:r w:rsidR="00835EFC">
        <w:rPr>
          <w:rFonts w:ascii="Times New Roman" w:hAnsi="Times New Roman" w:cs="Times New Roman"/>
          <w:sz w:val="24"/>
          <w:szCs w:val="24"/>
        </w:rPr>
        <w:t xml:space="preserve">&amp; </w:t>
      </w:r>
      <w:r w:rsidRPr="00715F2B">
        <w:rPr>
          <w:rFonts w:ascii="Times New Roman" w:hAnsi="Times New Roman" w:cs="Times New Roman"/>
          <w:sz w:val="24"/>
          <w:szCs w:val="24"/>
        </w:rPr>
        <w:t>A</w:t>
      </w:r>
      <w:r w:rsidR="00835EFC">
        <w:rPr>
          <w:rFonts w:ascii="Times New Roman" w:hAnsi="Times New Roman" w:cs="Times New Roman"/>
          <w:sz w:val="24"/>
          <w:szCs w:val="24"/>
        </w:rPr>
        <w:t>sociados</w:t>
      </w:r>
      <w:r w:rsidRPr="00715F2B">
        <w:rPr>
          <w:rFonts w:ascii="Times New Roman" w:hAnsi="Times New Roman" w:cs="Times New Roman"/>
          <w:sz w:val="24"/>
          <w:szCs w:val="24"/>
        </w:rPr>
        <w:t xml:space="preserve">. </w:t>
      </w:r>
    </w:p>
    <w:p w14:paraId="17F78D51" w14:textId="77777777" w:rsidR="004D3191" w:rsidRPr="00715F2B" w:rsidRDefault="004D3191" w:rsidP="007C4BD4">
      <w:pPr>
        <w:spacing w:after="0" w:line="240" w:lineRule="auto"/>
        <w:jc w:val="both"/>
        <w:rPr>
          <w:rFonts w:ascii="Times New Roman" w:hAnsi="Times New Roman" w:cs="Times New Roman"/>
          <w:sz w:val="24"/>
          <w:szCs w:val="24"/>
        </w:rPr>
      </w:pPr>
    </w:p>
    <w:p w14:paraId="074BB66F" w14:textId="222A94CB" w:rsidR="00003658" w:rsidRPr="00715F2B" w:rsidRDefault="00EF6639" w:rsidP="007C4BD4">
      <w:pPr>
        <w:spacing w:after="0" w:line="240" w:lineRule="auto"/>
        <w:jc w:val="both"/>
        <w:rPr>
          <w:rFonts w:ascii="Times New Roman" w:hAnsi="Times New Roman" w:cs="Times New Roman"/>
          <w:sz w:val="24"/>
          <w:szCs w:val="24"/>
        </w:rPr>
      </w:pPr>
      <w:r w:rsidRPr="00715F2B">
        <w:rPr>
          <w:rFonts w:ascii="Times New Roman" w:hAnsi="Times New Roman" w:cs="Times New Roman"/>
          <w:sz w:val="24"/>
          <w:szCs w:val="24"/>
        </w:rPr>
        <w:t xml:space="preserve">De la misma manera, el presente reporte no implica una opinión ni recomendación por parte de </w:t>
      </w:r>
      <w:r w:rsidR="00835EFC" w:rsidRPr="00715F2B">
        <w:rPr>
          <w:rFonts w:ascii="Times New Roman" w:hAnsi="Times New Roman" w:cs="Times New Roman"/>
          <w:sz w:val="24"/>
          <w:szCs w:val="24"/>
        </w:rPr>
        <w:t xml:space="preserve">Mena Alessandri </w:t>
      </w:r>
      <w:r w:rsidR="00835EFC">
        <w:rPr>
          <w:rFonts w:ascii="Times New Roman" w:hAnsi="Times New Roman" w:cs="Times New Roman"/>
          <w:sz w:val="24"/>
          <w:szCs w:val="24"/>
        </w:rPr>
        <w:t xml:space="preserve">&amp; </w:t>
      </w:r>
      <w:r w:rsidR="00835EFC" w:rsidRPr="00715F2B">
        <w:rPr>
          <w:rFonts w:ascii="Times New Roman" w:hAnsi="Times New Roman" w:cs="Times New Roman"/>
          <w:sz w:val="24"/>
          <w:szCs w:val="24"/>
        </w:rPr>
        <w:t>A</w:t>
      </w:r>
      <w:r w:rsidR="00835EFC">
        <w:rPr>
          <w:rFonts w:ascii="Times New Roman" w:hAnsi="Times New Roman" w:cs="Times New Roman"/>
          <w:sz w:val="24"/>
          <w:szCs w:val="24"/>
        </w:rPr>
        <w:t>sociados</w:t>
      </w:r>
      <w:r w:rsidR="00835EFC" w:rsidRPr="00715F2B">
        <w:rPr>
          <w:rFonts w:ascii="Times New Roman" w:hAnsi="Times New Roman" w:cs="Times New Roman"/>
          <w:sz w:val="24"/>
          <w:szCs w:val="24"/>
        </w:rPr>
        <w:t xml:space="preserve"> </w:t>
      </w:r>
      <w:r w:rsidRPr="00715F2B">
        <w:rPr>
          <w:rFonts w:ascii="Times New Roman" w:hAnsi="Times New Roman" w:cs="Times New Roman"/>
          <w:sz w:val="24"/>
          <w:szCs w:val="24"/>
        </w:rPr>
        <w:t xml:space="preserve">respecto de la situación particular de los receptores </w:t>
      </w:r>
      <w:proofErr w:type="gramStart"/>
      <w:r w:rsidRPr="00715F2B">
        <w:rPr>
          <w:rFonts w:ascii="Times New Roman" w:hAnsi="Times New Roman" w:cs="Times New Roman"/>
          <w:sz w:val="24"/>
          <w:szCs w:val="24"/>
        </w:rPr>
        <w:t>del mismo</w:t>
      </w:r>
      <w:proofErr w:type="gramEnd"/>
      <w:r w:rsidRPr="00715F2B">
        <w:rPr>
          <w:rFonts w:ascii="Times New Roman" w:hAnsi="Times New Roman" w:cs="Times New Roman"/>
          <w:sz w:val="24"/>
          <w:szCs w:val="24"/>
        </w:rPr>
        <w:t>, ni sobre la aplicación de las citadas normas y regulaciones a dichos receptores.</w:t>
      </w:r>
      <w:r w:rsidR="00A55DED">
        <w:rPr>
          <w:rFonts w:ascii="Times New Roman" w:hAnsi="Times New Roman" w:cs="Times New Roman"/>
          <w:sz w:val="24"/>
          <w:szCs w:val="24"/>
        </w:rPr>
        <w:t xml:space="preserve"> </w:t>
      </w:r>
    </w:p>
    <w:sectPr w:rsidR="00003658" w:rsidRPr="00715F2B" w:rsidSect="00D4619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12B49" w14:textId="77777777" w:rsidR="00F37E5A" w:rsidRDefault="00F37E5A" w:rsidP="001126AD">
      <w:pPr>
        <w:spacing w:after="0" w:line="240" w:lineRule="auto"/>
      </w:pPr>
      <w:r>
        <w:separator/>
      </w:r>
    </w:p>
  </w:endnote>
  <w:endnote w:type="continuationSeparator" w:id="0">
    <w:p w14:paraId="08843D91" w14:textId="77777777" w:rsidR="00F37E5A" w:rsidRDefault="00F37E5A" w:rsidP="00112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0EB9" w14:textId="77777777" w:rsidR="00F37E5A" w:rsidRDefault="00F37E5A" w:rsidP="003E04CE">
    <w:pPr>
      <w:spacing w:after="0" w:line="240" w:lineRule="auto"/>
      <w:jc w:val="center"/>
      <w:rPr>
        <w:rFonts w:ascii="Times New Roman" w:hAnsi="Times New Roman" w:cs="Times New Roman"/>
        <w:color w:val="444444"/>
        <w:sz w:val="18"/>
        <w:szCs w:val="18"/>
        <w:lang w:eastAsia="es-CL"/>
      </w:rPr>
    </w:pPr>
  </w:p>
  <w:p w14:paraId="2E9F52D7" w14:textId="64875A53" w:rsidR="00F37E5A" w:rsidRDefault="00F37E5A" w:rsidP="003E04CE">
    <w:pPr>
      <w:spacing w:after="0" w:line="240" w:lineRule="auto"/>
      <w:jc w:val="center"/>
      <w:rPr>
        <w:rFonts w:ascii="Times New Roman" w:hAnsi="Times New Roman" w:cs="Times New Roman"/>
        <w:color w:val="444444"/>
        <w:sz w:val="18"/>
        <w:szCs w:val="18"/>
        <w:lang w:eastAsia="es-CL"/>
      </w:rPr>
    </w:pPr>
    <w:r w:rsidRPr="00A20F89">
      <w:rPr>
        <w:rFonts w:ascii="Times New Roman" w:hAnsi="Times New Roman" w:cs="Times New Roman"/>
        <w:color w:val="444444"/>
        <w:sz w:val="18"/>
        <w:szCs w:val="18"/>
        <w:lang w:eastAsia="es-CL"/>
      </w:rPr>
      <w:t xml:space="preserve">Rosario Norte 555 Oficina </w:t>
    </w:r>
    <w:r>
      <w:rPr>
        <w:rFonts w:ascii="Times New Roman" w:hAnsi="Times New Roman" w:cs="Times New Roman"/>
        <w:color w:val="444444"/>
        <w:sz w:val="18"/>
        <w:szCs w:val="18"/>
        <w:lang w:eastAsia="es-CL"/>
      </w:rPr>
      <w:t>601</w:t>
    </w:r>
    <w:r w:rsidRPr="00A20F89">
      <w:rPr>
        <w:rFonts w:ascii="Times New Roman" w:hAnsi="Times New Roman" w:cs="Times New Roman"/>
        <w:color w:val="444444"/>
        <w:sz w:val="18"/>
        <w:szCs w:val="18"/>
        <w:lang w:eastAsia="es-CL"/>
      </w:rPr>
      <w:t xml:space="preserve"> - Las Condes, Santiago, Chile</w:t>
    </w:r>
  </w:p>
  <w:p w14:paraId="2A12DB97" w14:textId="4E59732C" w:rsidR="00F37E5A" w:rsidRPr="00A20F89" w:rsidRDefault="00F37E5A" w:rsidP="003E04CE">
    <w:pPr>
      <w:spacing w:after="0" w:line="240" w:lineRule="auto"/>
      <w:jc w:val="center"/>
      <w:rPr>
        <w:rFonts w:ascii="Times New Roman" w:hAnsi="Times New Roman" w:cs="Times New Roman"/>
        <w:color w:val="000000"/>
        <w:sz w:val="18"/>
        <w:szCs w:val="18"/>
        <w:lang w:eastAsia="es-CL"/>
      </w:rPr>
    </w:pPr>
    <w:r>
      <w:rPr>
        <w:rFonts w:ascii="Times New Roman" w:hAnsi="Times New Roman" w:cs="Times New Roman"/>
        <w:color w:val="444444"/>
        <w:sz w:val="18"/>
        <w:szCs w:val="18"/>
        <w:lang w:eastAsia="es-CL"/>
      </w:rPr>
      <w:t>Fono: +562 32396730</w:t>
    </w:r>
  </w:p>
  <w:p w14:paraId="25519003" w14:textId="6F3508B4" w:rsidR="00F37E5A" w:rsidRPr="00A47078" w:rsidRDefault="00772CC1" w:rsidP="00A47078">
    <w:pPr>
      <w:spacing w:after="0" w:line="240" w:lineRule="auto"/>
      <w:jc w:val="center"/>
      <w:rPr>
        <w:rFonts w:ascii="Times New Roman" w:hAnsi="Times New Roman" w:cs="Times New Roman"/>
        <w:color w:val="000000"/>
        <w:sz w:val="18"/>
        <w:szCs w:val="18"/>
        <w:lang w:eastAsia="es-CL"/>
      </w:rPr>
    </w:pPr>
    <w:hyperlink r:id="rId1" w:history="1">
      <w:r w:rsidR="00F37E5A" w:rsidRPr="00A20F89">
        <w:rPr>
          <w:rStyle w:val="Hipervnculo"/>
          <w:rFonts w:ascii="Times New Roman" w:hAnsi="Times New Roman" w:cs="Times New Roman"/>
          <w:color w:val="0000FF"/>
          <w:sz w:val="18"/>
          <w:szCs w:val="18"/>
          <w:lang w:eastAsia="es-CL"/>
        </w:rPr>
        <w:t>www.maabogados.cl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269AE" w14:textId="77777777" w:rsidR="00F37E5A" w:rsidRDefault="00F37E5A" w:rsidP="001126AD">
      <w:pPr>
        <w:spacing w:after="0" w:line="240" w:lineRule="auto"/>
      </w:pPr>
      <w:r>
        <w:separator/>
      </w:r>
    </w:p>
  </w:footnote>
  <w:footnote w:type="continuationSeparator" w:id="0">
    <w:p w14:paraId="72B0FAAA" w14:textId="77777777" w:rsidR="00F37E5A" w:rsidRDefault="00F37E5A" w:rsidP="00112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B067" w14:textId="1F931657" w:rsidR="00F37E5A" w:rsidRDefault="00F37E5A" w:rsidP="003E04CE">
    <w:pPr>
      <w:pStyle w:val="Encabezado"/>
      <w:jc w:val="right"/>
    </w:pPr>
    <w:r>
      <w:rPr>
        <w:noProof/>
      </w:rPr>
      <w:drawing>
        <wp:inline distT="0" distB="0" distL="0" distR="0" wp14:anchorId="68CCBF5A" wp14:editId="14638851">
          <wp:extent cx="1492557" cy="67627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2391" cy="685262"/>
                  </a:xfrm>
                  <a:prstGeom prst="rect">
                    <a:avLst/>
                  </a:prstGeom>
                </pic:spPr>
              </pic:pic>
            </a:graphicData>
          </a:graphic>
        </wp:inline>
      </w:drawing>
    </w:r>
  </w:p>
  <w:p w14:paraId="51FB6038" w14:textId="77777777" w:rsidR="00F37E5A" w:rsidRDefault="00F37E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7F64"/>
    <w:multiLevelType w:val="hybridMultilevel"/>
    <w:tmpl w:val="DEE81FD4"/>
    <w:lvl w:ilvl="0" w:tplc="7F0201C2">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3A480B8A"/>
    <w:multiLevelType w:val="hybridMultilevel"/>
    <w:tmpl w:val="DEF28D76"/>
    <w:lvl w:ilvl="0" w:tplc="74E62684">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0907394"/>
    <w:multiLevelType w:val="hybridMultilevel"/>
    <w:tmpl w:val="C2501E78"/>
    <w:lvl w:ilvl="0" w:tplc="BA922196">
      <w:start w:val="1"/>
      <w:numFmt w:val="lowerRoman"/>
      <w:lvlText w:val="(%1)"/>
      <w:lvlJc w:val="left"/>
      <w:pPr>
        <w:ind w:left="1430" w:hanging="720"/>
      </w:pPr>
      <w:rPr>
        <w:rFonts w:hint="default"/>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num w:numId="1" w16cid:durableId="1902709057">
    <w:abstractNumId w:val="0"/>
  </w:num>
  <w:num w:numId="2" w16cid:durableId="953753906">
    <w:abstractNumId w:val="1"/>
  </w:num>
  <w:num w:numId="3" w16cid:durableId="112395750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NDIztzQyMDM0NDBQ0lEKTi0uzszPAykwqgUAUj0ZEiwAAAA="/>
  </w:docVars>
  <w:rsids>
    <w:rsidRoot w:val="001126AD"/>
    <w:rsid w:val="00003658"/>
    <w:rsid w:val="00077830"/>
    <w:rsid w:val="000854CB"/>
    <w:rsid w:val="00085EBE"/>
    <w:rsid w:val="000C251C"/>
    <w:rsid w:val="001126AD"/>
    <w:rsid w:val="001255D2"/>
    <w:rsid w:val="00140B01"/>
    <w:rsid w:val="001450E8"/>
    <w:rsid w:val="00175E12"/>
    <w:rsid w:val="001C38F7"/>
    <w:rsid w:val="001C7794"/>
    <w:rsid w:val="001D0D01"/>
    <w:rsid w:val="001E5C5F"/>
    <w:rsid w:val="002219D5"/>
    <w:rsid w:val="00230B93"/>
    <w:rsid w:val="002A778F"/>
    <w:rsid w:val="002B2D9F"/>
    <w:rsid w:val="002D0086"/>
    <w:rsid w:val="002D19D0"/>
    <w:rsid w:val="002F0865"/>
    <w:rsid w:val="00306D84"/>
    <w:rsid w:val="003245E5"/>
    <w:rsid w:val="0033354D"/>
    <w:rsid w:val="003411D5"/>
    <w:rsid w:val="003A32FC"/>
    <w:rsid w:val="003E04CE"/>
    <w:rsid w:val="004065EF"/>
    <w:rsid w:val="004172A7"/>
    <w:rsid w:val="00424041"/>
    <w:rsid w:val="00441654"/>
    <w:rsid w:val="004537BC"/>
    <w:rsid w:val="00477A5D"/>
    <w:rsid w:val="0049001C"/>
    <w:rsid w:val="004C4422"/>
    <w:rsid w:val="004D3191"/>
    <w:rsid w:val="004F4E8B"/>
    <w:rsid w:val="00513093"/>
    <w:rsid w:val="0053300B"/>
    <w:rsid w:val="005519D3"/>
    <w:rsid w:val="00596123"/>
    <w:rsid w:val="005B51D5"/>
    <w:rsid w:val="005D6229"/>
    <w:rsid w:val="005E3D22"/>
    <w:rsid w:val="005E40B9"/>
    <w:rsid w:val="005F1D05"/>
    <w:rsid w:val="005F562D"/>
    <w:rsid w:val="00687A89"/>
    <w:rsid w:val="00691257"/>
    <w:rsid w:val="006A03C5"/>
    <w:rsid w:val="006B5BFA"/>
    <w:rsid w:val="006D61F6"/>
    <w:rsid w:val="006D73D7"/>
    <w:rsid w:val="00714DFD"/>
    <w:rsid w:val="00715F2B"/>
    <w:rsid w:val="0072338B"/>
    <w:rsid w:val="007240CF"/>
    <w:rsid w:val="007273C0"/>
    <w:rsid w:val="007311A4"/>
    <w:rsid w:val="007354E3"/>
    <w:rsid w:val="00747B80"/>
    <w:rsid w:val="00750001"/>
    <w:rsid w:val="007539A2"/>
    <w:rsid w:val="00763F58"/>
    <w:rsid w:val="00771C83"/>
    <w:rsid w:val="00772CC1"/>
    <w:rsid w:val="00796CCB"/>
    <w:rsid w:val="007C4BD4"/>
    <w:rsid w:val="007D48F8"/>
    <w:rsid w:val="00835A35"/>
    <w:rsid w:val="00835EFC"/>
    <w:rsid w:val="00876B13"/>
    <w:rsid w:val="00876C79"/>
    <w:rsid w:val="0088571C"/>
    <w:rsid w:val="008943A7"/>
    <w:rsid w:val="008A59B8"/>
    <w:rsid w:val="008D621E"/>
    <w:rsid w:val="009423A3"/>
    <w:rsid w:val="00954410"/>
    <w:rsid w:val="00954760"/>
    <w:rsid w:val="00976EDA"/>
    <w:rsid w:val="009D1A71"/>
    <w:rsid w:val="009D2BD4"/>
    <w:rsid w:val="00A00BDA"/>
    <w:rsid w:val="00A146F2"/>
    <w:rsid w:val="00A16643"/>
    <w:rsid w:val="00A20823"/>
    <w:rsid w:val="00A20F89"/>
    <w:rsid w:val="00A26C6A"/>
    <w:rsid w:val="00A43581"/>
    <w:rsid w:val="00A47078"/>
    <w:rsid w:val="00A55DED"/>
    <w:rsid w:val="00A605E3"/>
    <w:rsid w:val="00A84732"/>
    <w:rsid w:val="00AA5AEC"/>
    <w:rsid w:val="00AD5325"/>
    <w:rsid w:val="00AE02A2"/>
    <w:rsid w:val="00AF3529"/>
    <w:rsid w:val="00B23BF0"/>
    <w:rsid w:val="00B5252E"/>
    <w:rsid w:val="00B86B07"/>
    <w:rsid w:val="00BA2AAA"/>
    <w:rsid w:val="00BA5A80"/>
    <w:rsid w:val="00BB0328"/>
    <w:rsid w:val="00BF7710"/>
    <w:rsid w:val="00C23F1C"/>
    <w:rsid w:val="00C82205"/>
    <w:rsid w:val="00CB198B"/>
    <w:rsid w:val="00CC06FA"/>
    <w:rsid w:val="00CF1F0C"/>
    <w:rsid w:val="00D34C31"/>
    <w:rsid w:val="00D36676"/>
    <w:rsid w:val="00D434BF"/>
    <w:rsid w:val="00D46198"/>
    <w:rsid w:val="00D52413"/>
    <w:rsid w:val="00D71ED2"/>
    <w:rsid w:val="00D819A1"/>
    <w:rsid w:val="00D83233"/>
    <w:rsid w:val="00DB70E3"/>
    <w:rsid w:val="00DC1AF3"/>
    <w:rsid w:val="00DD25F0"/>
    <w:rsid w:val="00DD3C03"/>
    <w:rsid w:val="00DF2827"/>
    <w:rsid w:val="00E01453"/>
    <w:rsid w:val="00E14B08"/>
    <w:rsid w:val="00E30D62"/>
    <w:rsid w:val="00E457B8"/>
    <w:rsid w:val="00E56227"/>
    <w:rsid w:val="00E566C7"/>
    <w:rsid w:val="00E62594"/>
    <w:rsid w:val="00EB469D"/>
    <w:rsid w:val="00EC48F4"/>
    <w:rsid w:val="00EF6639"/>
    <w:rsid w:val="00F34C7C"/>
    <w:rsid w:val="00F37E5A"/>
    <w:rsid w:val="00F55D99"/>
    <w:rsid w:val="00F57FCD"/>
    <w:rsid w:val="00F717A6"/>
    <w:rsid w:val="00F95F35"/>
    <w:rsid w:val="00FA6616"/>
    <w:rsid w:val="00FC1342"/>
    <w:rsid w:val="00FC69B5"/>
    <w:rsid w:val="00FD3CB1"/>
    <w:rsid w:val="00FE3D6E"/>
    <w:rsid w:val="00FF4896"/>
    <w:rsid w:val="00FF5EDF"/>
  </w:rsids>
  <m:mathPr>
    <m:mathFont m:val="Cambria Math"/>
    <m:brkBin m:val="before"/>
    <m:brkBinSub m:val="--"/>
    <m:smallFrac m:val="0"/>
    <m:dispDef/>
    <m:lMargin m:val="0"/>
    <m:rMargin m:val="0"/>
    <m:defJc m:val="centerGroup"/>
    <m:wrapIndent m:val="1440"/>
    <m:intLim m:val="subSup"/>
    <m:naryLim m:val="undOvr"/>
  </m:mathPr>
  <w:themeFontLang w:val="en-US" w:eastAsia="es-CL"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85D214"/>
  <w15:chartTrackingRefBased/>
  <w15:docId w15:val="{43030816-6686-447B-86B2-A5C52940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1126AD"/>
    <w:pPr>
      <w:spacing w:after="0" w:line="240" w:lineRule="auto"/>
    </w:pPr>
    <w:rPr>
      <w:rFonts w:ascii="Times New Roman" w:eastAsia="Calibri"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1126AD"/>
    <w:rPr>
      <w:rFonts w:ascii="Times New Roman" w:eastAsia="Calibri" w:hAnsi="Times New Roman" w:cs="Times New Roman"/>
      <w:sz w:val="20"/>
      <w:szCs w:val="20"/>
      <w:lang w:val="es-ES_tradnl" w:eastAsia="es-ES"/>
    </w:rPr>
  </w:style>
  <w:style w:type="character" w:styleId="Refdenotaalpie">
    <w:name w:val="footnote reference"/>
    <w:semiHidden/>
    <w:unhideWhenUsed/>
    <w:rsid w:val="001126AD"/>
    <w:rPr>
      <w:rFonts w:ascii="Times New Roman" w:hAnsi="Times New Roman" w:cs="Times New Roman" w:hint="default"/>
      <w:vertAlign w:val="superscript"/>
    </w:rPr>
  </w:style>
  <w:style w:type="paragraph" w:styleId="Prrafodelista">
    <w:name w:val="List Paragraph"/>
    <w:basedOn w:val="Normal"/>
    <w:uiPriority w:val="34"/>
    <w:qFormat/>
    <w:rsid w:val="00BB0328"/>
    <w:pPr>
      <w:ind w:left="720"/>
      <w:contextualSpacing/>
    </w:pPr>
  </w:style>
  <w:style w:type="paragraph" w:styleId="Encabezado">
    <w:name w:val="header"/>
    <w:basedOn w:val="Normal"/>
    <w:link w:val="EncabezadoCar"/>
    <w:uiPriority w:val="99"/>
    <w:unhideWhenUsed/>
    <w:rsid w:val="0053300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300B"/>
  </w:style>
  <w:style w:type="paragraph" w:styleId="Piedepgina">
    <w:name w:val="footer"/>
    <w:basedOn w:val="Normal"/>
    <w:link w:val="PiedepginaCar"/>
    <w:uiPriority w:val="99"/>
    <w:unhideWhenUsed/>
    <w:rsid w:val="0053300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300B"/>
  </w:style>
  <w:style w:type="character" w:styleId="Hipervnculo">
    <w:name w:val="Hyperlink"/>
    <w:basedOn w:val="Fuentedeprrafopredeter"/>
    <w:uiPriority w:val="99"/>
    <w:unhideWhenUsed/>
    <w:rsid w:val="0053300B"/>
    <w:rPr>
      <w:color w:val="0563C1" w:themeColor="hyperlink"/>
      <w:u w:val="single"/>
    </w:rPr>
  </w:style>
  <w:style w:type="character" w:styleId="nfasis">
    <w:name w:val="Emphasis"/>
    <w:qFormat/>
    <w:rsid w:val="0053300B"/>
    <w:rPr>
      <w:rFonts w:ascii="Cambria" w:hAnsi="Cambria"/>
      <w:b/>
      <w:i w:val="0"/>
      <w:iCs/>
      <w:sz w:val="24"/>
    </w:rPr>
  </w:style>
  <w:style w:type="paragraph" w:styleId="Ttulo">
    <w:name w:val="Title"/>
    <w:basedOn w:val="Normal"/>
    <w:next w:val="Normal"/>
    <w:link w:val="TtuloCar"/>
    <w:qFormat/>
    <w:rsid w:val="0053300B"/>
    <w:pPr>
      <w:spacing w:before="240" w:after="60" w:line="240" w:lineRule="auto"/>
      <w:outlineLvl w:val="0"/>
    </w:pPr>
    <w:rPr>
      <w:rFonts w:ascii="Calibri" w:eastAsia="Times New Roman" w:hAnsi="Calibri" w:cs="Times New Roman"/>
      <w:b/>
      <w:bCs/>
      <w:kern w:val="28"/>
      <w:szCs w:val="32"/>
      <w:lang w:val="es-ES_tradnl" w:eastAsia="es-ES"/>
    </w:rPr>
  </w:style>
  <w:style w:type="character" w:customStyle="1" w:styleId="TtuloCar">
    <w:name w:val="Título Car"/>
    <w:basedOn w:val="Fuentedeprrafopredeter"/>
    <w:link w:val="Ttulo"/>
    <w:rsid w:val="0053300B"/>
    <w:rPr>
      <w:rFonts w:ascii="Calibri" w:eastAsia="Times New Roman" w:hAnsi="Calibri" w:cs="Times New Roman"/>
      <w:b/>
      <w:bCs/>
      <w:kern w:val="28"/>
      <w:szCs w:val="32"/>
      <w:lang w:val="es-ES_tradnl" w:eastAsia="es-ES"/>
    </w:rPr>
  </w:style>
  <w:style w:type="paragraph" w:styleId="Textoindependiente">
    <w:name w:val="Body Text"/>
    <w:basedOn w:val="Normal"/>
    <w:link w:val="TextoindependienteCar"/>
    <w:uiPriority w:val="99"/>
    <w:rsid w:val="00513093"/>
    <w:pPr>
      <w:spacing w:after="120" w:line="240" w:lineRule="auto"/>
    </w:pPr>
    <w:rPr>
      <w:rFonts w:ascii="Times" w:eastAsia="Times New Roman" w:hAnsi="Times" w:cs="Times New Roman"/>
      <w:sz w:val="24"/>
      <w:szCs w:val="20"/>
      <w:lang w:val="es-ES_tradnl" w:eastAsia="es-ES"/>
    </w:rPr>
  </w:style>
  <w:style w:type="character" w:customStyle="1" w:styleId="TextoindependienteCar">
    <w:name w:val="Texto independiente Car"/>
    <w:basedOn w:val="Fuentedeprrafopredeter"/>
    <w:link w:val="Textoindependiente"/>
    <w:uiPriority w:val="99"/>
    <w:rsid w:val="00513093"/>
    <w:rPr>
      <w:rFonts w:ascii="Times" w:eastAsia="Times New Roman" w:hAnsi="Times" w:cs="Times New Roman"/>
      <w:sz w:val="24"/>
      <w:szCs w:val="20"/>
      <w:lang w:val="es-ES_tradnl" w:eastAsia="es-ES"/>
    </w:rPr>
  </w:style>
  <w:style w:type="paragraph" w:styleId="Textodeglobo">
    <w:name w:val="Balloon Text"/>
    <w:basedOn w:val="Normal"/>
    <w:link w:val="TextodegloboCar"/>
    <w:uiPriority w:val="99"/>
    <w:semiHidden/>
    <w:unhideWhenUsed/>
    <w:rsid w:val="00EF66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6639"/>
    <w:rPr>
      <w:rFonts w:ascii="Segoe UI" w:hAnsi="Segoe UI" w:cs="Segoe UI"/>
      <w:sz w:val="18"/>
      <w:szCs w:val="18"/>
    </w:rPr>
  </w:style>
  <w:style w:type="paragraph" w:customStyle="1" w:styleId="Default">
    <w:name w:val="Default"/>
    <w:rsid w:val="00F34C7C"/>
    <w:pPr>
      <w:autoSpaceDE w:val="0"/>
      <w:autoSpaceDN w:val="0"/>
      <w:adjustRightInd w:val="0"/>
      <w:spacing w:after="0" w:line="240" w:lineRule="auto"/>
    </w:pPr>
    <w:rPr>
      <w:rFonts w:ascii="Arial" w:hAnsi="Arial" w:cs="Arial"/>
      <w:color w:val="000000"/>
      <w:sz w:val="24"/>
      <w:szCs w:val="24"/>
    </w:rPr>
  </w:style>
  <w:style w:type="character" w:styleId="Mencinsinresolver">
    <w:name w:val="Unresolved Mention"/>
    <w:basedOn w:val="Fuentedeprrafopredeter"/>
    <w:uiPriority w:val="99"/>
    <w:semiHidden/>
    <w:unhideWhenUsed/>
    <w:rsid w:val="00F34C7C"/>
    <w:rPr>
      <w:color w:val="808080"/>
      <w:shd w:val="clear" w:color="auto" w:fill="E6E6E6"/>
    </w:rPr>
  </w:style>
  <w:style w:type="paragraph" w:styleId="Sangra2detindependiente">
    <w:name w:val="Body Text Indent 2"/>
    <w:basedOn w:val="Normal"/>
    <w:link w:val="Sangra2detindependienteCar"/>
    <w:uiPriority w:val="99"/>
    <w:semiHidden/>
    <w:unhideWhenUsed/>
    <w:rsid w:val="009423A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42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5356">
      <w:bodyDiv w:val="1"/>
      <w:marLeft w:val="0"/>
      <w:marRight w:val="0"/>
      <w:marTop w:val="0"/>
      <w:marBottom w:val="0"/>
      <w:divBdr>
        <w:top w:val="none" w:sz="0" w:space="0" w:color="auto"/>
        <w:left w:val="none" w:sz="0" w:space="0" w:color="auto"/>
        <w:bottom w:val="none" w:sz="0" w:space="0" w:color="auto"/>
        <w:right w:val="none" w:sz="0" w:space="0" w:color="auto"/>
      </w:divBdr>
    </w:div>
    <w:div w:id="522941013">
      <w:bodyDiv w:val="1"/>
      <w:marLeft w:val="0"/>
      <w:marRight w:val="0"/>
      <w:marTop w:val="0"/>
      <w:marBottom w:val="0"/>
      <w:divBdr>
        <w:top w:val="none" w:sz="0" w:space="0" w:color="auto"/>
        <w:left w:val="none" w:sz="0" w:space="0" w:color="auto"/>
        <w:bottom w:val="none" w:sz="0" w:space="0" w:color="auto"/>
        <w:right w:val="none" w:sz="0" w:space="0" w:color="auto"/>
      </w:divBdr>
    </w:div>
    <w:div w:id="575356798">
      <w:bodyDiv w:val="1"/>
      <w:marLeft w:val="0"/>
      <w:marRight w:val="0"/>
      <w:marTop w:val="0"/>
      <w:marBottom w:val="0"/>
      <w:divBdr>
        <w:top w:val="none" w:sz="0" w:space="0" w:color="auto"/>
        <w:left w:val="none" w:sz="0" w:space="0" w:color="auto"/>
        <w:bottom w:val="none" w:sz="0" w:space="0" w:color="auto"/>
        <w:right w:val="none" w:sz="0" w:space="0" w:color="auto"/>
      </w:divBdr>
      <w:divsChild>
        <w:div w:id="2005744773">
          <w:marLeft w:val="432"/>
          <w:marRight w:val="0"/>
          <w:marTop w:val="360"/>
          <w:marBottom w:val="0"/>
          <w:divBdr>
            <w:top w:val="none" w:sz="0" w:space="0" w:color="auto"/>
            <w:left w:val="none" w:sz="0" w:space="0" w:color="auto"/>
            <w:bottom w:val="none" w:sz="0" w:space="0" w:color="auto"/>
            <w:right w:val="none" w:sz="0" w:space="0" w:color="auto"/>
          </w:divBdr>
        </w:div>
        <w:div w:id="724110118">
          <w:marLeft w:val="432"/>
          <w:marRight w:val="0"/>
          <w:marTop w:val="360"/>
          <w:marBottom w:val="0"/>
          <w:divBdr>
            <w:top w:val="none" w:sz="0" w:space="0" w:color="auto"/>
            <w:left w:val="none" w:sz="0" w:space="0" w:color="auto"/>
            <w:bottom w:val="none" w:sz="0" w:space="0" w:color="auto"/>
            <w:right w:val="none" w:sz="0" w:space="0" w:color="auto"/>
          </w:divBdr>
        </w:div>
        <w:div w:id="396514331">
          <w:marLeft w:val="432"/>
          <w:marRight w:val="0"/>
          <w:marTop w:val="360"/>
          <w:marBottom w:val="0"/>
          <w:divBdr>
            <w:top w:val="none" w:sz="0" w:space="0" w:color="auto"/>
            <w:left w:val="none" w:sz="0" w:space="0" w:color="auto"/>
            <w:bottom w:val="none" w:sz="0" w:space="0" w:color="auto"/>
            <w:right w:val="none" w:sz="0" w:space="0" w:color="auto"/>
          </w:divBdr>
        </w:div>
        <w:div w:id="63184676">
          <w:marLeft w:val="432"/>
          <w:marRight w:val="0"/>
          <w:marTop w:val="360"/>
          <w:marBottom w:val="0"/>
          <w:divBdr>
            <w:top w:val="none" w:sz="0" w:space="0" w:color="auto"/>
            <w:left w:val="none" w:sz="0" w:space="0" w:color="auto"/>
            <w:bottom w:val="none" w:sz="0" w:space="0" w:color="auto"/>
            <w:right w:val="none" w:sz="0" w:space="0" w:color="auto"/>
          </w:divBdr>
        </w:div>
        <w:div w:id="2094279470">
          <w:marLeft w:val="936"/>
          <w:marRight w:val="0"/>
          <w:marTop w:val="200"/>
          <w:marBottom w:val="0"/>
          <w:divBdr>
            <w:top w:val="none" w:sz="0" w:space="0" w:color="auto"/>
            <w:left w:val="none" w:sz="0" w:space="0" w:color="auto"/>
            <w:bottom w:val="none" w:sz="0" w:space="0" w:color="auto"/>
            <w:right w:val="none" w:sz="0" w:space="0" w:color="auto"/>
          </w:divBdr>
        </w:div>
        <w:div w:id="987981404">
          <w:marLeft w:val="936"/>
          <w:marRight w:val="0"/>
          <w:marTop w:val="200"/>
          <w:marBottom w:val="0"/>
          <w:divBdr>
            <w:top w:val="none" w:sz="0" w:space="0" w:color="auto"/>
            <w:left w:val="none" w:sz="0" w:space="0" w:color="auto"/>
            <w:bottom w:val="none" w:sz="0" w:space="0" w:color="auto"/>
            <w:right w:val="none" w:sz="0" w:space="0" w:color="auto"/>
          </w:divBdr>
        </w:div>
        <w:div w:id="550271074">
          <w:marLeft w:val="936"/>
          <w:marRight w:val="0"/>
          <w:marTop w:val="200"/>
          <w:marBottom w:val="0"/>
          <w:divBdr>
            <w:top w:val="none" w:sz="0" w:space="0" w:color="auto"/>
            <w:left w:val="none" w:sz="0" w:space="0" w:color="auto"/>
            <w:bottom w:val="none" w:sz="0" w:space="0" w:color="auto"/>
            <w:right w:val="none" w:sz="0" w:space="0" w:color="auto"/>
          </w:divBdr>
        </w:div>
        <w:div w:id="943148809">
          <w:marLeft w:val="432"/>
          <w:marRight w:val="0"/>
          <w:marTop w:val="360"/>
          <w:marBottom w:val="0"/>
          <w:divBdr>
            <w:top w:val="none" w:sz="0" w:space="0" w:color="auto"/>
            <w:left w:val="none" w:sz="0" w:space="0" w:color="auto"/>
            <w:bottom w:val="none" w:sz="0" w:space="0" w:color="auto"/>
            <w:right w:val="none" w:sz="0" w:space="0" w:color="auto"/>
          </w:divBdr>
        </w:div>
      </w:divsChild>
    </w:div>
    <w:div w:id="721634414">
      <w:bodyDiv w:val="1"/>
      <w:marLeft w:val="0"/>
      <w:marRight w:val="0"/>
      <w:marTop w:val="0"/>
      <w:marBottom w:val="0"/>
      <w:divBdr>
        <w:top w:val="none" w:sz="0" w:space="0" w:color="auto"/>
        <w:left w:val="none" w:sz="0" w:space="0" w:color="auto"/>
        <w:bottom w:val="none" w:sz="0" w:space="0" w:color="auto"/>
        <w:right w:val="none" w:sz="0" w:space="0" w:color="auto"/>
      </w:divBdr>
      <w:divsChild>
        <w:div w:id="1009403860">
          <w:marLeft w:val="1051"/>
          <w:marRight w:val="0"/>
          <w:marTop w:val="200"/>
          <w:marBottom w:val="0"/>
          <w:divBdr>
            <w:top w:val="none" w:sz="0" w:space="0" w:color="auto"/>
            <w:left w:val="none" w:sz="0" w:space="0" w:color="auto"/>
            <w:bottom w:val="none" w:sz="0" w:space="0" w:color="auto"/>
            <w:right w:val="none" w:sz="0" w:space="0" w:color="auto"/>
          </w:divBdr>
        </w:div>
      </w:divsChild>
    </w:div>
    <w:div w:id="1236017117">
      <w:bodyDiv w:val="1"/>
      <w:marLeft w:val="0"/>
      <w:marRight w:val="0"/>
      <w:marTop w:val="0"/>
      <w:marBottom w:val="0"/>
      <w:divBdr>
        <w:top w:val="none" w:sz="0" w:space="0" w:color="auto"/>
        <w:left w:val="none" w:sz="0" w:space="0" w:color="auto"/>
        <w:bottom w:val="none" w:sz="0" w:space="0" w:color="auto"/>
        <w:right w:val="none" w:sz="0" w:space="0" w:color="auto"/>
      </w:divBdr>
      <w:divsChild>
        <w:div w:id="526990024">
          <w:marLeft w:val="432"/>
          <w:marRight w:val="0"/>
          <w:marTop w:val="360"/>
          <w:marBottom w:val="0"/>
          <w:divBdr>
            <w:top w:val="none" w:sz="0" w:space="0" w:color="auto"/>
            <w:left w:val="none" w:sz="0" w:space="0" w:color="auto"/>
            <w:bottom w:val="none" w:sz="0" w:space="0" w:color="auto"/>
            <w:right w:val="none" w:sz="0" w:space="0" w:color="auto"/>
          </w:divBdr>
        </w:div>
        <w:div w:id="1474298365">
          <w:marLeft w:val="432"/>
          <w:marRight w:val="0"/>
          <w:marTop w:val="360"/>
          <w:marBottom w:val="0"/>
          <w:divBdr>
            <w:top w:val="none" w:sz="0" w:space="0" w:color="auto"/>
            <w:left w:val="none" w:sz="0" w:space="0" w:color="auto"/>
            <w:bottom w:val="none" w:sz="0" w:space="0" w:color="auto"/>
            <w:right w:val="none" w:sz="0" w:space="0" w:color="auto"/>
          </w:divBdr>
        </w:div>
        <w:div w:id="1826124285">
          <w:marLeft w:val="432"/>
          <w:marRight w:val="0"/>
          <w:marTop w:val="360"/>
          <w:marBottom w:val="0"/>
          <w:divBdr>
            <w:top w:val="none" w:sz="0" w:space="0" w:color="auto"/>
            <w:left w:val="none" w:sz="0" w:space="0" w:color="auto"/>
            <w:bottom w:val="none" w:sz="0" w:space="0" w:color="auto"/>
            <w:right w:val="none" w:sz="0" w:space="0" w:color="auto"/>
          </w:divBdr>
        </w:div>
        <w:div w:id="1733387923">
          <w:marLeft w:val="936"/>
          <w:marRight w:val="0"/>
          <w:marTop w:val="200"/>
          <w:marBottom w:val="0"/>
          <w:divBdr>
            <w:top w:val="none" w:sz="0" w:space="0" w:color="auto"/>
            <w:left w:val="none" w:sz="0" w:space="0" w:color="auto"/>
            <w:bottom w:val="none" w:sz="0" w:space="0" w:color="auto"/>
            <w:right w:val="none" w:sz="0" w:space="0" w:color="auto"/>
          </w:divBdr>
        </w:div>
        <w:div w:id="1028989724">
          <w:marLeft w:val="936"/>
          <w:marRight w:val="0"/>
          <w:marTop w:val="200"/>
          <w:marBottom w:val="0"/>
          <w:divBdr>
            <w:top w:val="none" w:sz="0" w:space="0" w:color="auto"/>
            <w:left w:val="none" w:sz="0" w:space="0" w:color="auto"/>
            <w:bottom w:val="none" w:sz="0" w:space="0" w:color="auto"/>
            <w:right w:val="none" w:sz="0" w:space="0" w:color="auto"/>
          </w:divBdr>
        </w:div>
        <w:div w:id="1285574056">
          <w:marLeft w:val="432"/>
          <w:marRight w:val="0"/>
          <w:marTop w:val="360"/>
          <w:marBottom w:val="0"/>
          <w:divBdr>
            <w:top w:val="none" w:sz="0" w:space="0" w:color="auto"/>
            <w:left w:val="none" w:sz="0" w:space="0" w:color="auto"/>
            <w:bottom w:val="none" w:sz="0" w:space="0" w:color="auto"/>
            <w:right w:val="none" w:sz="0" w:space="0" w:color="auto"/>
          </w:divBdr>
        </w:div>
      </w:divsChild>
    </w:div>
    <w:div w:id="1598439330">
      <w:bodyDiv w:val="1"/>
      <w:marLeft w:val="0"/>
      <w:marRight w:val="0"/>
      <w:marTop w:val="0"/>
      <w:marBottom w:val="0"/>
      <w:divBdr>
        <w:top w:val="none" w:sz="0" w:space="0" w:color="auto"/>
        <w:left w:val="none" w:sz="0" w:space="0" w:color="auto"/>
        <w:bottom w:val="none" w:sz="0" w:space="0" w:color="auto"/>
        <w:right w:val="none" w:sz="0" w:space="0" w:color="auto"/>
      </w:divBdr>
    </w:div>
    <w:div w:id="1804345546">
      <w:bodyDiv w:val="1"/>
      <w:marLeft w:val="0"/>
      <w:marRight w:val="0"/>
      <w:marTop w:val="0"/>
      <w:marBottom w:val="0"/>
      <w:divBdr>
        <w:top w:val="none" w:sz="0" w:space="0" w:color="auto"/>
        <w:left w:val="none" w:sz="0" w:space="0" w:color="auto"/>
        <w:bottom w:val="none" w:sz="0" w:space="0" w:color="auto"/>
        <w:right w:val="none" w:sz="0" w:space="0" w:color="auto"/>
      </w:divBdr>
      <w:divsChild>
        <w:div w:id="757403326">
          <w:marLeft w:val="432"/>
          <w:marRight w:val="0"/>
          <w:marTop w:val="360"/>
          <w:marBottom w:val="0"/>
          <w:divBdr>
            <w:top w:val="none" w:sz="0" w:space="0" w:color="auto"/>
            <w:left w:val="none" w:sz="0" w:space="0" w:color="auto"/>
            <w:bottom w:val="none" w:sz="0" w:space="0" w:color="auto"/>
            <w:right w:val="none" w:sz="0" w:space="0" w:color="auto"/>
          </w:divBdr>
        </w:div>
        <w:div w:id="449855873">
          <w:marLeft w:val="432"/>
          <w:marRight w:val="0"/>
          <w:marTop w:val="360"/>
          <w:marBottom w:val="0"/>
          <w:divBdr>
            <w:top w:val="none" w:sz="0" w:space="0" w:color="auto"/>
            <w:left w:val="none" w:sz="0" w:space="0" w:color="auto"/>
            <w:bottom w:val="none" w:sz="0" w:space="0" w:color="auto"/>
            <w:right w:val="none" w:sz="0" w:space="0" w:color="auto"/>
          </w:divBdr>
        </w:div>
        <w:div w:id="1295403199">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aabogados.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 I M _ M A ! 2 6 4 3 2 5 . 1 < / d o c u m e n t i d >  
     < s e n d e r i d > M A _ D M O R A < / s e n d e r i d >  
     < s e n d e r e m a i l > D M O R A @ M A A B O G A D O S . C L < / s e n d e r e m a i l >  
     < l a s t m o d i f i e d > 2 0 2 2 - 0 7 - 1 2 T 1 8 : 4 6 : 0 0 . 0 0 0 0 0 0 0 - 0 4 : 0 0 < / l a s t m o d i f i e d >  
     < d a t a b a s e > I M _ M A < / d a t a b a s e >  
 < / p r o p e r t i e s > 
</file>

<file path=customXml/itemProps1.xml><?xml version="1.0" encoding="utf-8"?>
<ds:datastoreItem xmlns:ds="http://schemas.openxmlformats.org/officeDocument/2006/customXml" ds:itemID="{63DCF8A5-1254-4821-B983-C9D604BF8677}">
  <ds:schemaRefs>
    <ds:schemaRef ds:uri="http://schemas.openxmlformats.org/officeDocument/2006/bibliography"/>
  </ds:schemaRefs>
</ds:datastoreItem>
</file>

<file path=customXml/itemProps2.xml><?xml version="1.0" encoding="utf-8"?>
<ds:datastoreItem xmlns:ds="http://schemas.openxmlformats.org/officeDocument/2006/customXml" ds:itemID="{49F6701B-4E43-47F3-9C7F-A09BE0639DD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1071</Words>
  <Characters>5775</Characters>
  <Application>Microsoft Office Word</Application>
  <DocSecurity>4</DocSecurity>
  <Lines>115</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Cristián Mena</dc:creator>
  <cp:keywords/>
  <dc:description/>
  <cp:lastModifiedBy>Eliana Ferretto</cp:lastModifiedBy>
  <cp:revision>2</cp:revision>
  <dcterms:created xsi:type="dcterms:W3CDTF">2022-07-18T14:39:00Z</dcterms:created>
  <dcterms:modified xsi:type="dcterms:W3CDTF">2022-07-18T14:39:00Z</dcterms:modified>
</cp:coreProperties>
</file>